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852B" w14:textId="651A557C" w:rsidR="001C5E34" w:rsidRPr="00C96FDB" w:rsidRDefault="001C5E34" w:rsidP="001C5E34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="00A50ED4">
        <w:t>5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 w:rsidR="00A50ED4">
        <w:rPr>
          <w:rFonts w:cs="Arial"/>
          <w:sz w:val="26"/>
          <w:szCs w:val="26"/>
        </w:rPr>
        <w:t>400802</w:t>
      </w:r>
    </w:p>
    <w:p w14:paraId="2246ACF2" w14:textId="15AE8788" w:rsidR="001C5E34" w:rsidRPr="00702A88" w:rsidRDefault="00A50ED4" w:rsidP="001C5E34">
      <w:pPr>
        <w:pStyle w:val="3GPPHeader"/>
      </w:pPr>
      <w:r>
        <w:t>Athens</w:t>
      </w:r>
      <w:r w:rsidR="001C5E34">
        <w:t xml:space="preserve">, </w:t>
      </w:r>
      <w:r>
        <w:t>Greece</w:t>
      </w:r>
      <w:r w:rsidR="001C5E34">
        <w:t>,</w:t>
      </w:r>
      <w:r w:rsidR="001C5E34" w:rsidRPr="00C96FDB">
        <w:t xml:space="preserve"> </w:t>
      </w:r>
      <w:r>
        <w:t>February</w:t>
      </w:r>
      <w:r w:rsidR="001C5E34">
        <w:t xml:space="preserve"> </w:t>
      </w:r>
      <w:r w:rsidR="00DA11E6">
        <w:t>26</w:t>
      </w:r>
      <w:r w:rsidR="001C5E34" w:rsidRPr="0081080F">
        <w:rPr>
          <w:vertAlign w:val="superscript"/>
        </w:rPr>
        <w:t>th</w:t>
      </w:r>
      <w:r w:rsidR="001C5E34">
        <w:t xml:space="preserve"> – </w:t>
      </w:r>
      <w:r>
        <w:t xml:space="preserve">March </w:t>
      </w:r>
      <w:r w:rsidR="00DA11E6">
        <w:t>1</w:t>
      </w:r>
      <w:r w:rsidR="00DA11E6" w:rsidRPr="00DA11E6">
        <w:rPr>
          <w:vertAlign w:val="superscript"/>
        </w:rPr>
        <w:t>st</w:t>
      </w:r>
      <w:r w:rsidR="001C5E34" w:rsidRPr="00C96FDB">
        <w:t>, 202</w:t>
      </w:r>
      <w:r>
        <w:t>4</w:t>
      </w:r>
      <w:r w:rsidR="001C5E34">
        <w:t xml:space="preserve">                                       </w:t>
      </w:r>
    </w:p>
    <w:p w14:paraId="7AD14354" w14:textId="7990470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9776B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A50ED4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37811D05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50ED4">
        <w:rPr>
          <w:sz w:val="22"/>
          <w:szCs w:val="22"/>
        </w:rPr>
        <w:t>RRC corrections for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26834D02" w14:textId="45D0E1FB" w:rsidR="00C304E2" w:rsidRDefault="00C304E2" w:rsidP="00C304E2">
      <w:pPr>
        <w:rPr>
          <w:bCs/>
        </w:rPr>
      </w:pPr>
      <w:r>
        <w:rPr>
          <w:bCs/>
        </w:rPr>
        <w:t xml:space="preserve">Rel-18 TS 38.331 [1] introduces </w:t>
      </w:r>
      <w:r w:rsidR="006443DB">
        <w:rPr>
          <w:bCs/>
        </w:rPr>
        <w:t>enhanced support for NTN,</w:t>
      </w:r>
      <w:r>
        <w:rPr>
          <w:bCs/>
        </w:rPr>
        <w:t xml:space="preserve"> </w:t>
      </w:r>
      <w:r w:rsidR="006443DB">
        <w:rPr>
          <w:bCs/>
        </w:rPr>
        <w:t>including</w:t>
      </w:r>
      <w:r w:rsidR="000C4F76">
        <w:rPr>
          <w:bCs/>
        </w:rPr>
        <w:t xml:space="preserve"> </w:t>
      </w:r>
      <w:r w:rsidR="00A1476D">
        <w:rPr>
          <w:bCs/>
        </w:rPr>
        <w:t xml:space="preserve">satellite switch with re-synchronization, RACH-less handover, and </w:t>
      </w:r>
      <w:r w:rsidR="00201FCD">
        <w:rPr>
          <w:bCs/>
        </w:rPr>
        <w:t>mobility enhancements for Earth-moving cells</w:t>
      </w:r>
      <w:r w:rsidR="000C4F76">
        <w:rPr>
          <w:bCs/>
        </w:rPr>
        <w:t>.</w:t>
      </w:r>
      <w:r w:rsidR="006443DB">
        <w:rPr>
          <w:bCs/>
        </w:rPr>
        <w:t xml:space="preserve"> </w:t>
      </w:r>
      <w:r>
        <w:rPr>
          <w:bCs/>
        </w:rPr>
        <w:t xml:space="preserve">This contribution discusses remaining issues identified during the post RAN2#124 CR review </w:t>
      </w:r>
      <w:r w:rsidR="000C4F76">
        <w:rPr>
          <w:bCs/>
        </w:rPr>
        <w:t xml:space="preserve">[2] </w:t>
      </w:r>
      <w:r>
        <w:rPr>
          <w:bCs/>
        </w:rPr>
        <w:t>introducing these features.</w:t>
      </w:r>
    </w:p>
    <w:p w14:paraId="2E2DEB19" w14:textId="1FBA71C1" w:rsidR="0062377F" w:rsidRDefault="00A50ED4" w:rsidP="0062377F">
      <w:pPr>
        <w:pStyle w:val="Heading1"/>
      </w:pPr>
      <w:r>
        <w:t>RRC</w:t>
      </w:r>
      <w:r w:rsidR="00C27B56">
        <w:t xml:space="preserve">: </w:t>
      </w:r>
      <w:r>
        <w:t>Corrections and r</w:t>
      </w:r>
      <w:r w:rsidR="00C27B56">
        <w:t>emaining open issues</w:t>
      </w:r>
    </w:p>
    <w:p w14:paraId="7CFE2378" w14:textId="129B3314" w:rsidR="009802AD" w:rsidRDefault="00FC7141" w:rsidP="00B97C9D">
      <w:pPr>
        <w:pStyle w:val="Heading2"/>
        <w:rPr>
          <w:lang w:eastAsia="sv-SE"/>
        </w:rPr>
      </w:pPr>
      <w:r>
        <w:rPr>
          <w:lang w:eastAsia="sv-SE"/>
        </w:rPr>
        <w:t>Applicability of condEventD2 to different deployment scenarios</w:t>
      </w:r>
    </w:p>
    <w:p w14:paraId="0F3049D9" w14:textId="7D5A2430" w:rsidR="00750FDD" w:rsidRPr="00751094" w:rsidRDefault="00D2724D" w:rsidP="00063A61">
      <w:pPr>
        <w:rPr>
          <w:bCs/>
          <w:lang w:eastAsia="sv-SE"/>
        </w:rPr>
      </w:pPr>
      <w:r>
        <w:rPr>
          <w:lang w:eastAsia="sv-SE"/>
        </w:rPr>
        <w:t>T</w:t>
      </w:r>
      <w:r w:rsidR="00063A61">
        <w:rPr>
          <w:lang w:eastAsia="sv-SE"/>
        </w:rPr>
        <w:t xml:space="preserve">he following issue was </w:t>
      </w:r>
      <w:r w:rsidR="00600416">
        <w:rPr>
          <w:lang w:eastAsia="sv-SE"/>
        </w:rPr>
        <w:t>captured</w:t>
      </w:r>
      <w:r w:rsidR="00063A61">
        <w:rPr>
          <w:lang w:eastAsia="sv-SE"/>
        </w:rPr>
        <w:t xml:space="preserve"> by the specification Rapporteur </w:t>
      </w:r>
      <w:r w:rsidR="00600416">
        <w:rPr>
          <w:lang w:eastAsia="sv-SE"/>
        </w:rPr>
        <w:t xml:space="preserve">as an open issue </w:t>
      </w:r>
      <w:r w:rsidR="00063A61">
        <w:rPr>
          <w:lang w:eastAsia="sv-SE"/>
        </w:rPr>
        <w:t>for further discussion:</w:t>
      </w:r>
    </w:p>
    <w:p w14:paraId="65CF5DBD" w14:textId="585DE52D" w:rsidR="00443259" w:rsidRPr="001D12A9" w:rsidRDefault="001D12A9" w:rsidP="001D12A9">
      <w:pPr>
        <w:spacing w:after="0"/>
        <w:rPr>
          <w:rFonts w:cs="Arial"/>
          <w:i/>
          <w:iCs/>
        </w:rPr>
      </w:pPr>
      <w:r w:rsidRPr="001D12A9">
        <w:rPr>
          <w:rFonts w:cs="Arial"/>
          <w:i/>
          <w:iCs/>
        </w:rPr>
        <w:t>“</w:t>
      </w:r>
      <w:r w:rsidR="00443259" w:rsidRPr="001D12A9">
        <w:rPr>
          <w:rFonts w:cs="Arial"/>
          <w:i/>
          <w:iCs/>
        </w:rPr>
        <w:t>For location-based conditional handover, RAN2 needs to clarify whether condEventD2 applies only to moving cells or a combination of moving and quasi-Earth fixed cells for the choice of source and target cells.</w:t>
      </w:r>
      <w:r w:rsidRPr="001D12A9">
        <w:rPr>
          <w:rFonts w:cs="Arial"/>
          <w:i/>
          <w:iCs/>
        </w:rPr>
        <w:t>”</w:t>
      </w:r>
    </w:p>
    <w:p w14:paraId="735492A6" w14:textId="77777777" w:rsidR="00E93343" w:rsidRPr="00E93343" w:rsidRDefault="00E93343" w:rsidP="00FC7141">
      <w:pPr>
        <w:ind w:left="1440" w:hanging="1440"/>
        <w:rPr>
          <w:bCs/>
          <w:i/>
          <w:iCs/>
          <w:sz w:val="2"/>
          <w:szCs w:val="2"/>
          <w:lang w:eastAsia="sv-SE"/>
        </w:rPr>
      </w:pPr>
    </w:p>
    <w:p w14:paraId="6EDB7C9B" w14:textId="71D014C6" w:rsidR="00AE10E0" w:rsidRDefault="00041173" w:rsidP="00FF48B5">
      <w:pPr>
        <w:rPr>
          <w:bCs/>
          <w:lang w:eastAsia="sv-SE"/>
        </w:rPr>
      </w:pPr>
      <w:r>
        <w:rPr>
          <w:bCs/>
          <w:lang w:eastAsia="sv-SE"/>
        </w:rPr>
        <w:t xml:space="preserve">The </w:t>
      </w:r>
      <w:r w:rsidR="00FF48B5">
        <w:rPr>
          <w:bCs/>
          <w:lang w:eastAsia="sv-SE"/>
        </w:rPr>
        <w:t>structure of</w:t>
      </w:r>
      <w:r>
        <w:rPr>
          <w:bCs/>
          <w:lang w:eastAsia="sv-SE"/>
        </w:rPr>
        <w:t xml:space="preserve"> condEventD2</w:t>
      </w:r>
      <w:r w:rsidR="00FF48B5">
        <w:rPr>
          <w:bCs/>
          <w:lang w:eastAsia="sv-SE"/>
        </w:rPr>
        <w:t xml:space="preserve"> is the same as condEventD1</w:t>
      </w:r>
      <w:r w:rsidR="00A76FD9">
        <w:rPr>
          <w:bCs/>
          <w:lang w:eastAsia="sv-SE"/>
        </w:rPr>
        <w:t xml:space="preserve"> (</w:t>
      </w:r>
      <w:r w:rsidR="00653CA3">
        <w:rPr>
          <w:bCs/>
          <w:lang w:eastAsia="sv-SE"/>
        </w:rPr>
        <w:t xml:space="preserve">for quasi-Earth fixed </w:t>
      </w:r>
      <w:r w:rsidR="006773E5">
        <w:rPr>
          <w:bCs/>
          <w:lang w:eastAsia="sv-SE"/>
        </w:rPr>
        <w:t>cells</w:t>
      </w:r>
      <w:r w:rsidR="00A76FD9">
        <w:rPr>
          <w:bCs/>
          <w:lang w:eastAsia="sv-SE"/>
        </w:rPr>
        <w:t>)</w:t>
      </w:r>
      <w:r w:rsidR="00653CA3">
        <w:rPr>
          <w:bCs/>
          <w:lang w:eastAsia="sv-SE"/>
        </w:rPr>
        <w:t xml:space="preserve"> </w:t>
      </w:r>
      <w:r w:rsidR="00D93377">
        <w:rPr>
          <w:bCs/>
          <w:lang w:eastAsia="sv-SE"/>
        </w:rPr>
        <w:t>and includes reference locations</w:t>
      </w:r>
      <w:r w:rsidR="009176CF">
        <w:rPr>
          <w:bCs/>
          <w:lang w:eastAsia="sv-SE"/>
        </w:rPr>
        <w:t xml:space="preserve"> for source and target cell as well as corresponding</w:t>
      </w:r>
      <w:r w:rsidR="00D93377">
        <w:rPr>
          <w:bCs/>
          <w:lang w:eastAsia="sv-SE"/>
        </w:rPr>
        <w:t xml:space="preserve"> </w:t>
      </w:r>
      <w:r w:rsidR="009176CF">
        <w:rPr>
          <w:bCs/>
          <w:lang w:eastAsia="sv-SE"/>
        </w:rPr>
        <w:t>distance thresholds</w:t>
      </w:r>
      <w:r w:rsidR="00FF48B5">
        <w:rPr>
          <w:bCs/>
          <w:lang w:eastAsia="sv-SE"/>
        </w:rPr>
        <w:t xml:space="preserve">. However, in the Earth-moving cell case, the UE must track the </w:t>
      </w:r>
      <w:r w:rsidR="00CC471A">
        <w:rPr>
          <w:bCs/>
          <w:lang w:eastAsia="sv-SE"/>
        </w:rPr>
        <w:t xml:space="preserve">reference location as the satellite moves. </w:t>
      </w:r>
      <w:r w:rsidR="00AE10E0">
        <w:rPr>
          <w:bCs/>
          <w:lang w:eastAsia="sv-SE"/>
        </w:rPr>
        <w:t xml:space="preserve">When the UE </w:t>
      </w:r>
      <w:r w:rsidR="00CC471A">
        <w:rPr>
          <w:bCs/>
          <w:lang w:eastAsia="sv-SE"/>
        </w:rPr>
        <w:t>must track the reference location</w:t>
      </w:r>
      <w:r w:rsidR="00AE10E0">
        <w:rPr>
          <w:bCs/>
          <w:lang w:eastAsia="sv-SE"/>
        </w:rPr>
        <w:t xml:space="preserve"> depends on the event which is configured (i.e., </w:t>
      </w:r>
      <w:r w:rsidR="00CC471A">
        <w:rPr>
          <w:bCs/>
          <w:lang w:eastAsia="sv-SE"/>
        </w:rPr>
        <w:t>when the UE is configured with condEventD2, it must track the reference locations contained within the event</w:t>
      </w:r>
      <w:r w:rsidR="00AE10E0">
        <w:rPr>
          <w:bCs/>
          <w:lang w:eastAsia="sv-SE"/>
        </w:rPr>
        <w:t xml:space="preserve"> unlike condEventD1 where both </w:t>
      </w:r>
      <w:r w:rsidR="00DD5CC0">
        <w:rPr>
          <w:bCs/>
          <w:lang w:eastAsia="sv-SE"/>
        </w:rPr>
        <w:t>reference locations</w:t>
      </w:r>
      <w:r w:rsidR="00AE10E0">
        <w:rPr>
          <w:bCs/>
          <w:lang w:eastAsia="sv-SE"/>
        </w:rPr>
        <w:t xml:space="preserve"> are assumed fixed</w:t>
      </w:r>
      <w:r w:rsidR="00CC471A">
        <w:rPr>
          <w:bCs/>
          <w:lang w:eastAsia="sv-SE"/>
        </w:rPr>
        <w:t>).</w:t>
      </w:r>
    </w:p>
    <w:p w14:paraId="0EA14965" w14:textId="76EC1D83" w:rsidR="003F0185" w:rsidRPr="00E93343" w:rsidRDefault="003F0185" w:rsidP="00FF48B5">
      <w:pPr>
        <w:rPr>
          <w:bCs/>
          <w:lang w:eastAsia="sv-SE"/>
        </w:rPr>
      </w:pPr>
      <w:r>
        <w:rPr>
          <w:bCs/>
          <w:lang w:eastAsia="sv-SE"/>
        </w:rPr>
        <w:t xml:space="preserve">Supporting combinations of </w:t>
      </w:r>
      <w:r w:rsidR="000C2BDC">
        <w:rPr>
          <w:bCs/>
          <w:lang w:eastAsia="sv-SE"/>
        </w:rPr>
        <w:t>quasi-</w:t>
      </w:r>
      <w:r>
        <w:rPr>
          <w:bCs/>
          <w:lang w:eastAsia="sv-SE"/>
        </w:rPr>
        <w:t xml:space="preserve">Earth fixed and Earth moving cells would require an indication which reference location must be </w:t>
      </w:r>
      <w:r w:rsidR="00266BF6">
        <w:rPr>
          <w:bCs/>
          <w:lang w:eastAsia="sv-SE"/>
        </w:rPr>
        <w:t>tracked,</w:t>
      </w:r>
      <w:r w:rsidR="00B9313B">
        <w:rPr>
          <w:bCs/>
          <w:lang w:eastAsia="sv-SE"/>
        </w:rPr>
        <w:t xml:space="preserve"> and which one is fixed. This would either require </w:t>
      </w:r>
      <w:r w:rsidR="00266BF6">
        <w:rPr>
          <w:bCs/>
          <w:lang w:eastAsia="sv-SE"/>
        </w:rPr>
        <w:t>enhancements</w:t>
      </w:r>
      <w:r w:rsidR="00B9313B">
        <w:rPr>
          <w:bCs/>
          <w:lang w:eastAsia="sv-SE"/>
        </w:rPr>
        <w:t xml:space="preserve"> to existing Event definitions, or more likely introduction of </w:t>
      </w:r>
      <w:r w:rsidR="00266BF6">
        <w:rPr>
          <w:bCs/>
          <w:lang w:eastAsia="sv-SE"/>
        </w:rPr>
        <w:t xml:space="preserve">at least one </w:t>
      </w:r>
      <w:r w:rsidR="00B9313B">
        <w:rPr>
          <w:bCs/>
          <w:lang w:eastAsia="sv-SE"/>
        </w:rPr>
        <w:t>new Event.</w:t>
      </w:r>
      <w:r w:rsidR="00943234">
        <w:rPr>
          <w:bCs/>
          <w:lang w:eastAsia="sv-SE"/>
        </w:rPr>
        <w:t xml:space="preserve"> </w:t>
      </w:r>
    </w:p>
    <w:p w14:paraId="01BFE5A4" w14:textId="76EA4544" w:rsidR="00FC7141" w:rsidRPr="00E337D4" w:rsidRDefault="00FC7141" w:rsidP="00FC7141">
      <w:pPr>
        <w:ind w:left="1440" w:hanging="1440"/>
        <w:rPr>
          <w:bCs/>
          <w:i/>
          <w:iCs/>
          <w:lang w:eastAsia="sv-SE"/>
        </w:rPr>
      </w:pPr>
      <w:r w:rsidRPr="00E337D4">
        <w:rPr>
          <w:bCs/>
          <w:i/>
          <w:iCs/>
          <w:lang w:eastAsia="sv-SE"/>
        </w:rPr>
        <w:t>Observation 1:</w:t>
      </w:r>
      <w:r w:rsidRPr="00E337D4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For location-based conditional handover, supporting a combination of Earth moving and quasi-Earth fixed cells may require definition of </w:t>
      </w:r>
      <w:r w:rsidR="00685D9F">
        <w:rPr>
          <w:bCs/>
          <w:i/>
          <w:iCs/>
          <w:lang w:eastAsia="sv-SE"/>
        </w:rPr>
        <w:t xml:space="preserve">an </w:t>
      </w:r>
      <w:r>
        <w:rPr>
          <w:bCs/>
          <w:i/>
          <w:iCs/>
          <w:lang w:eastAsia="sv-SE"/>
        </w:rPr>
        <w:t>additional event.</w:t>
      </w:r>
    </w:p>
    <w:p w14:paraId="39D97A74" w14:textId="75271421" w:rsidR="00FC7141" w:rsidRPr="00E337D4" w:rsidRDefault="00F23A41" w:rsidP="00F23A41">
      <w:pPr>
        <w:rPr>
          <w:bCs/>
          <w:lang w:eastAsia="sv-SE"/>
        </w:rPr>
      </w:pPr>
      <w:r>
        <w:rPr>
          <w:bCs/>
          <w:lang w:eastAsia="sv-SE"/>
        </w:rPr>
        <w:t>For simplicity</w:t>
      </w:r>
      <w:r w:rsidR="005F3F37">
        <w:rPr>
          <w:bCs/>
          <w:lang w:eastAsia="sv-SE"/>
        </w:rPr>
        <w:t xml:space="preserve"> </w:t>
      </w:r>
      <w:r>
        <w:rPr>
          <w:bCs/>
          <w:lang w:eastAsia="sv-SE"/>
        </w:rPr>
        <w:t xml:space="preserve">it is proposed that condEventD2 be restricted </w:t>
      </w:r>
      <w:r w:rsidR="00B87C80">
        <w:rPr>
          <w:bCs/>
          <w:lang w:eastAsia="sv-SE"/>
        </w:rPr>
        <w:t>only to when both source and target cells are Earth-moving</w:t>
      </w:r>
      <w:r w:rsidR="000C2BDC">
        <w:rPr>
          <w:bCs/>
          <w:lang w:eastAsia="sv-SE"/>
        </w:rPr>
        <w:t>, at least in this Release</w:t>
      </w:r>
      <w:r w:rsidR="00B87C80">
        <w:rPr>
          <w:bCs/>
          <w:lang w:eastAsia="sv-SE"/>
        </w:rPr>
        <w:t>.</w:t>
      </w:r>
    </w:p>
    <w:p w14:paraId="3DC39723" w14:textId="77777777" w:rsidR="00332D67" w:rsidRDefault="00332D67" w:rsidP="00332D67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Pr="00B5439F">
        <w:rPr>
          <w:b/>
          <w:i/>
          <w:iCs/>
          <w:lang w:eastAsia="sv-SE"/>
        </w:rPr>
        <w:t xml:space="preserve">condEventD2 </w:t>
      </w:r>
      <w:r>
        <w:rPr>
          <w:b/>
          <w:lang w:eastAsia="sv-SE"/>
        </w:rPr>
        <w:t>only applies if both source and target are Earth-moving cells.</w:t>
      </w:r>
    </w:p>
    <w:p w14:paraId="673B7E9F" w14:textId="71419187" w:rsidR="00FC7141" w:rsidRPr="00E337D4" w:rsidRDefault="00EC096E" w:rsidP="008567E5">
      <w:pPr>
        <w:rPr>
          <w:bCs/>
          <w:lang w:eastAsia="sv-SE"/>
        </w:rPr>
      </w:pPr>
      <w:r>
        <w:rPr>
          <w:bCs/>
          <w:lang w:eastAsia="sv-SE"/>
        </w:rPr>
        <w:t xml:space="preserve">There are several ways to ensure that </w:t>
      </w:r>
      <w:r w:rsidR="008567E5">
        <w:rPr>
          <w:bCs/>
          <w:lang w:eastAsia="sv-SE"/>
        </w:rPr>
        <w:t>condEventD2 applies only to when both source and target are Earth-moving cells.</w:t>
      </w:r>
      <w:r w:rsidR="00FE40C3">
        <w:rPr>
          <w:bCs/>
          <w:lang w:eastAsia="sv-SE"/>
        </w:rPr>
        <w:t xml:space="preserve"> The most explicit way would be to </w:t>
      </w:r>
      <w:r w:rsidR="00E31107">
        <w:rPr>
          <w:bCs/>
          <w:lang w:eastAsia="sv-SE"/>
        </w:rPr>
        <w:t xml:space="preserve">specify </w:t>
      </w:r>
      <w:r w:rsidR="0060048E">
        <w:rPr>
          <w:bCs/>
          <w:lang w:eastAsia="sv-SE"/>
        </w:rPr>
        <w:t xml:space="preserve">this restriction </w:t>
      </w:r>
      <w:r w:rsidR="00E31107">
        <w:rPr>
          <w:bCs/>
          <w:lang w:eastAsia="sv-SE"/>
        </w:rPr>
        <w:t>in the event description</w:t>
      </w:r>
      <w:r w:rsidR="0060048E">
        <w:rPr>
          <w:bCs/>
          <w:lang w:eastAsia="sv-SE"/>
        </w:rPr>
        <w:t xml:space="preserve"> (e.g., via clarifying text or a note).</w:t>
      </w:r>
      <w:r w:rsidR="003C6420">
        <w:rPr>
          <w:bCs/>
          <w:lang w:eastAsia="sv-SE"/>
        </w:rPr>
        <w:t xml:space="preserve"> Alternatively, RAN2 may simply agree and leave it to NW implementation to ensure that condEventD2 is only configured in the appropriate scenarios</w:t>
      </w:r>
      <w:r w:rsidR="009376C7">
        <w:rPr>
          <w:bCs/>
          <w:lang w:eastAsia="sv-SE"/>
        </w:rPr>
        <w:t>.</w:t>
      </w:r>
    </w:p>
    <w:p w14:paraId="0346A60A" w14:textId="77777777" w:rsidR="00332D67" w:rsidRDefault="00332D67" w:rsidP="00332D67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The following options are considered to restrict </w:t>
      </w:r>
      <w:r w:rsidRPr="00B5439F">
        <w:rPr>
          <w:b/>
          <w:i/>
          <w:iCs/>
          <w:lang w:eastAsia="sv-SE"/>
        </w:rPr>
        <w:t>condEventD2</w:t>
      </w:r>
      <w:r>
        <w:rPr>
          <w:b/>
          <w:lang w:eastAsia="sv-SE"/>
        </w:rPr>
        <w:t xml:space="preserve"> to when both source and target are Earth-moving cells:</w:t>
      </w:r>
    </w:p>
    <w:p w14:paraId="485C8348" w14:textId="77777777" w:rsidR="00332D67" w:rsidRDefault="00332D67" w:rsidP="00332D67">
      <w:pPr>
        <w:ind w:left="576"/>
        <w:rPr>
          <w:b/>
          <w:lang w:eastAsia="sv-SE"/>
        </w:rPr>
      </w:pPr>
      <w:r w:rsidRPr="0032404B">
        <w:rPr>
          <w:b/>
          <w:u w:val="single"/>
          <w:lang w:eastAsia="sv-SE"/>
        </w:rPr>
        <w:t>Option 1:</w:t>
      </w:r>
      <w:r>
        <w:rPr>
          <w:b/>
          <w:lang w:eastAsia="sv-SE"/>
        </w:rPr>
        <w:t xml:space="preserve"> Clarify in the event description (i.e., Section 5.5.4.15a).</w:t>
      </w:r>
    </w:p>
    <w:p w14:paraId="20253D19" w14:textId="77777777" w:rsidR="00332D67" w:rsidRDefault="00332D67" w:rsidP="00332D67">
      <w:pPr>
        <w:ind w:left="576"/>
        <w:rPr>
          <w:b/>
          <w:lang w:eastAsia="sv-SE"/>
        </w:rPr>
      </w:pPr>
      <w:r w:rsidRPr="0032404B">
        <w:rPr>
          <w:b/>
          <w:u w:val="single"/>
          <w:lang w:eastAsia="sv-SE"/>
        </w:rPr>
        <w:t>Option 2:</w:t>
      </w:r>
      <w:r>
        <w:rPr>
          <w:b/>
          <w:lang w:eastAsia="sv-SE"/>
        </w:rPr>
        <w:t xml:space="preserve"> It is up to NW implementation to ensure proper configuration.</w:t>
      </w:r>
    </w:p>
    <w:p w14:paraId="08260761" w14:textId="1F8539AC" w:rsidR="00D87EAE" w:rsidRPr="00D87EAE" w:rsidRDefault="00D87EAE" w:rsidP="008D23A9">
      <w:pPr>
        <w:rPr>
          <w:bCs/>
          <w:lang w:eastAsia="sv-SE"/>
        </w:rPr>
      </w:pPr>
      <w:r>
        <w:rPr>
          <w:bCs/>
          <w:lang w:eastAsia="sv-SE"/>
        </w:rPr>
        <w:t xml:space="preserve">Similarly, </w:t>
      </w:r>
      <w:r w:rsidR="008D23A9">
        <w:rPr>
          <w:bCs/>
          <w:lang w:eastAsia="sv-SE"/>
        </w:rPr>
        <w:t>condEventD1 was specified in Rel-17 when only quasi-Earth fixed cell case was considered</w:t>
      </w:r>
      <w:r w:rsidR="00175072">
        <w:rPr>
          <w:bCs/>
          <w:lang w:eastAsia="sv-SE"/>
        </w:rPr>
        <w:t>, which implies that it is only designed for when both</w:t>
      </w:r>
      <w:r w:rsidR="009B0B78">
        <w:rPr>
          <w:bCs/>
          <w:lang w:eastAsia="sv-SE"/>
        </w:rPr>
        <w:t xml:space="preserve"> source and target</w:t>
      </w:r>
      <w:r w:rsidR="00175072">
        <w:rPr>
          <w:bCs/>
          <w:lang w:eastAsia="sv-SE"/>
        </w:rPr>
        <w:t xml:space="preserve"> cells are quasi-Earth fixed.</w:t>
      </w:r>
      <w:r w:rsidR="008D23A9">
        <w:rPr>
          <w:bCs/>
          <w:lang w:eastAsia="sv-SE"/>
        </w:rPr>
        <w:t xml:space="preserve"> If a clarification is made for condEventD2</w:t>
      </w:r>
      <w:r w:rsidR="00175072">
        <w:rPr>
          <w:bCs/>
          <w:lang w:eastAsia="sv-SE"/>
        </w:rPr>
        <w:t>, to avoid con</w:t>
      </w:r>
      <w:r w:rsidR="00332D67">
        <w:rPr>
          <w:bCs/>
          <w:lang w:eastAsia="sv-SE"/>
        </w:rPr>
        <w:t>fusion</w:t>
      </w:r>
      <w:r w:rsidR="00175072">
        <w:rPr>
          <w:bCs/>
          <w:lang w:eastAsia="sv-SE"/>
        </w:rPr>
        <w:t xml:space="preserve"> </w:t>
      </w:r>
      <w:r w:rsidR="007B47F7">
        <w:rPr>
          <w:bCs/>
          <w:lang w:eastAsia="sv-SE"/>
        </w:rPr>
        <w:t>a similar clarification may</w:t>
      </w:r>
      <w:r w:rsidR="00BB3824">
        <w:rPr>
          <w:bCs/>
          <w:lang w:eastAsia="sv-SE"/>
        </w:rPr>
        <w:t xml:space="preserve"> also</w:t>
      </w:r>
      <w:r w:rsidR="007B47F7">
        <w:rPr>
          <w:bCs/>
          <w:lang w:eastAsia="sv-SE"/>
        </w:rPr>
        <w:t xml:space="preserve"> be made </w:t>
      </w:r>
      <w:r w:rsidR="00BB3824">
        <w:rPr>
          <w:bCs/>
          <w:lang w:eastAsia="sv-SE"/>
        </w:rPr>
        <w:t>for</w:t>
      </w:r>
      <w:r w:rsidR="007B47F7">
        <w:rPr>
          <w:bCs/>
          <w:lang w:eastAsia="sv-SE"/>
        </w:rPr>
        <w:t xml:space="preserve"> condEventD1</w:t>
      </w:r>
      <w:r w:rsidR="00BB3824">
        <w:rPr>
          <w:bCs/>
          <w:lang w:eastAsia="sv-SE"/>
        </w:rPr>
        <w:t>.</w:t>
      </w:r>
    </w:p>
    <w:p w14:paraId="3809AAD8" w14:textId="77777777" w:rsidR="00332D67" w:rsidRDefault="00332D67" w:rsidP="00332D67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</w:r>
      <w:r w:rsidRPr="00B5439F">
        <w:rPr>
          <w:b/>
          <w:i/>
          <w:iCs/>
          <w:lang w:eastAsia="sv-SE"/>
        </w:rPr>
        <w:t>condEventD1</w:t>
      </w:r>
      <w:r>
        <w:rPr>
          <w:b/>
          <w:lang w:eastAsia="sv-SE"/>
        </w:rPr>
        <w:t xml:space="preserve"> only applies if both source and target are quasi-Earth fixed cells.</w:t>
      </w:r>
    </w:p>
    <w:p w14:paraId="4A8B168F" w14:textId="61469FEC" w:rsidR="00FE693A" w:rsidRPr="00FE693A" w:rsidRDefault="003E50E3" w:rsidP="00FE693A">
      <w:pPr>
        <w:rPr>
          <w:bCs/>
          <w:lang w:eastAsia="sv-SE"/>
        </w:rPr>
      </w:pPr>
      <w:r>
        <w:rPr>
          <w:bCs/>
          <w:lang w:eastAsia="sv-SE"/>
        </w:rPr>
        <w:lastRenderedPageBreak/>
        <w:t xml:space="preserve">The same options to restrict condEventD2 to Earth-moving cells also apply to </w:t>
      </w:r>
      <w:r w:rsidR="00007DE1">
        <w:rPr>
          <w:bCs/>
          <w:lang w:eastAsia="sv-SE"/>
        </w:rPr>
        <w:t>restriction</w:t>
      </w:r>
      <w:r>
        <w:rPr>
          <w:bCs/>
          <w:lang w:eastAsia="sv-SE"/>
        </w:rPr>
        <w:t xml:space="preserve"> condEventD1 to quasi-Earth fixed cells</w:t>
      </w:r>
      <w:r w:rsidR="00AC3AA0">
        <w:rPr>
          <w:bCs/>
          <w:lang w:eastAsia="sv-SE"/>
        </w:rPr>
        <w:t>, however t</w:t>
      </w:r>
      <w:r w:rsidR="00007DE1">
        <w:rPr>
          <w:bCs/>
          <w:lang w:eastAsia="sv-SE"/>
        </w:rPr>
        <w:t xml:space="preserve">he method of clarification agreed from Proposal 2 </w:t>
      </w:r>
      <w:r w:rsidR="0026617D">
        <w:rPr>
          <w:bCs/>
          <w:lang w:eastAsia="sv-SE"/>
        </w:rPr>
        <w:t xml:space="preserve">should </w:t>
      </w:r>
      <w:r w:rsidR="005F4507">
        <w:rPr>
          <w:bCs/>
          <w:lang w:eastAsia="sv-SE"/>
        </w:rPr>
        <w:t>be applied to both Events</w:t>
      </w:r>
      <w:r w:rsidR="00D87EAE">
        <w:rPr>
          <w:bCs/>
          <w:lang w:eastAsia="sv-SE"/>
        </w:rPr>
        <w:t>.</w:t>
      </w:r>
    </w:p>
    <w:p w14:paraId="1ACA7897" w14:textId="77777777" w:rsidR="00332D67" w:rsidRPr="00B664BE" w:rsidRDefault="00332D67" w:rsidP="00332D67">
      <w:pPr>
        <w:tabs>
          <w:tab w:val="left" w:pos="0"/>
        </w:tabs>
        <w:ind w:left="1440" w:hanging="1440"/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  <w:t xml:space="preserve">Clarify </w:t>
      </w:r>
      <w:r w:rsidRPr="00B5439F">
        <w:rPr>
          <w:b/>
          <w:i/>
          <w:iCs/>
          <w:lang w:eastAsia="sv-SE"/>
        </w:rPr>
        <w:t>condEventD1</w:t>
      </w:r>
      <w:r>
        <w:rPr>
          <w:b/>
          <w:lang w:eastAsia="sv-SE"/>
        </w:rPr>
        <w:t xml:space="preserve"> only applies to when both source and target are quasi-Earth fixed cells in the same way as </w:t>
      </w:r>
      <w:r w:rsidRPr="00B5439F">
        <w:rPr>
          <w:b/>
          <w:i/>
          <w:iCs/>
          <w:lang w:eastAsia="sv-SE"/>
        </w:rPr>
        <w:t>condEventD2</w:t>
      </w:r>
      <w:r>
        <w:rPr>
          <w:b/>
          <w:lang w:eastAsia="sv-SE"/>
        </w:rPr>
        <w:t xml:space="preserve"> (i.e., clarify in the event description or leave to </w:t>
      </w:r>
      <w:r w:rsidRPr="00B664BE">
        <w:rPr>
          <w:b/>
          <w:lang w:eastAsia="sv-SE"/>
        </w:rPr>
        <w:t>NW implementation, depending on outcome of Proposal 2).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79CCADA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CF06A6">
        <w:t>corrections and remaining open issues for NTN in the RRC specification</w:t>
      </w:r>
      <w:r w:rsidR="00A76A18">
        <w:t>:</w:t>
      </w:r>
    </w:p>
    <w:p w14:paraId="270E62EB" w14:textId="77777777" w:rsidR="00D26172" w:rsidRPr="00E337D4" w:rsidRDefault="00D26172" w:rsidP="00D26172">
      <w:pPr>
        <w:ind w:left="1440" w:hanging="1440"/>
        <w:rPr>
          <w:bCs/>
          <w:i/>
          <w:iCs/>
          <w:lang w:eastAsia="sv-SE"/>
        </w:rPr>
      </w:pPr>
      <w:r w:rsidRPr="00E337D4">
        <w:rPr>
          <w:bCs/>
          <w:i/>
          <w:iCs/>
          <w:lang w:eastAsia="sv-SE"/>
        </w:rPr>
        <w:t>Observation 1:</w:t>
      </w:r>
      <w:r w:rsidRPr="00E337D4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>For location-based conditional handover, supporting a combination of Earth moving and quasi-Earth fixed cells may require definition of an additional event.</w:t>
      </w:r>
    </w:p>
    <w:p w14:paraId="0C157307" w14:textId="078DDF18" w:rsidR="0035069F" w:rsidRDefault="0035069F" w:rsidP="0035069F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Pr="00B5439F">
        <w:rPr>
          <w:b/>
          <w:i/>
          <w:iCs/>
          <w:lang w:eastAsia="sv-SE"/>
        </w:rPr>
        <w:t xml:space="preserve">condEventD2 </w:t>
      </w:r>
      <w:r>
        <w:rPr>
          <w:b/>
          <w:lang w:eastAsia="sv-SE"/>
        </w:rPr>
        <w:t>only applies if both source and target are Earth-moving cells.</w:t>
      </w:r>
    </w:p>
    <w:p w14:paraId="1BC5DFE9" w14:textId="77777777" w:rsidR="0035069F" w:rsidRDefault="0035069F" w:rsidP="0035069F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The following options are considered to restrict </w:t>
      </w:r>
      <w:r w:rsidRPr="00B5439F">
        <w:rPr>
          <w:b/>
          <w:i/>
          <w:iCs/>
          <w:lang w:eastAsia="sv-SE"/>
        </w:rPr>
        <w:t>condEventD2</w:t>
      </w:r>
      <w:r>
        <w:rPr>
          <w:b/>
          <w:lang w:eastAsia="sv-SE"/>
        </w:rPr>
        <w:t xml:space="preserve"> to when both source and target are Earth-moving cells:</w:t>
      </w:r>
    </w:p>
    <w:p w14:paraId="112BAAA4" w14:textId="699FC9FA" w:rsidR="0035069F" w:rsidRDefault="0035069F" w:rsidP="0035069F">
      <w:pPr>
        <w:ind w:left="576"/>
        <w:rPr>
          <w:b/>
          <w:lang w:eastAsia="sv-SE"/>
        </w:rPr>
      </w:pPr>
      <w:r w:rsidRPr="0032404B">
        <w:rPr>
          <w:b/>
          <w:u w:val="single"/>
          <w:lang w:eastAsia="sv-SE"/>
        </w:rPr>
        <w:t>Option 1:</w:t>
      </w:r>
      <w:r>
        <w:rPr>
          <w:b/>
          <w:lang w:eastAsia="sv-SE"/>
        </w:rPr>
        <w:t xml:space="preserve"> Clarify in the event description (i.e., Section 5.5.4.15a)</w:t>
      </w:r>
      <w:r w:rsidR="00B5439F">
        <w:rPr>
          <w:b/>
          <w:lang w:eastAsia="sv-SE"/>
        </w:rPr>
        <w:t>.</w:t>
      </w:r>
    </w:p>
    <w:p w14:paraId="533E0382" w14:textId="7DF86755" w:rsidR="0035069F" w:rsidRDefault="0035069F" w:rsidP="0035069F">
      <w:pPr>
        <w:ind w:left="576"/>
        <w:rPr>
          <w:b/>
          <w:lang w:eastAsia="sv-SE"/>
        </w:rPr>
      </w:pPr>
      <w:r w:rsidRPr="0032404B">
        <w:rPr>
          <w:b/>
          <w:u w:val="single"/>
          <w:lang w:eastAsia="sv-SE"/>
        </w:rPr>
        <w:t>Option 2:</w:t>
      </w:r>
      <w:r>
        <w:rPr>
          <w:b/>
          <w:lang w:eastAsia="sv-SE"/>
        </w:rPr>
        <w:t xml:space="preserve"> It is up to NW implementation to ensure proper configuration</w:t>
      </w:r>
      <w:r w:rsidR="00B5439F">
        <w:rPr>
          <w:b/>
          <w:lang w:eastAsia="sv-SE"/>
        </w:rPr>
        <w:t>.</w:t>
      </w:r>
    </w:p>
    <w:p w14:paraId="255062F5" w14:textId="77777777" w:rsidR="0035069F" w:rsidRDefault="0035069F" w:rsidP="0035069F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</w:r>
      <w:r w:rsidRPr="00B5439F">
        <w:rPr>
          <w:b/>
          <w:i/>
          <w:iCs/>
          <w:lang w:eastAsia="sv-SE"/>
        </w:rPr>
        <w:t>condEventD1</w:t>
      </w:r>
      <w:r>
        <w:rPr>
          <w:b/>
          <w:lang w:eastAsia="sv-SE"/>
        </w:rPr>
        <w:t xml:space="preserve"> only applies if both source and target are quasi-Earth fixed cells.</w:t>
      </w:r>
    </w:p>
    <w:p w14:paraId="75DEA5BA" w14:textId="1F14556F" w:rsidR="00CF06A6" w:rsidRPr="00B664BE" w:rsidRDefault="0035069F" w:rsidP="0035069F">
      <w:pPr>
        <w:tabs>
          <w:tab w:val="left" w:pos="0"/>
        </w:tabs>
        <w:ind w:left="1440" w:hanging="1440"/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</w:r>
      <w:r w:rsidR="00B5439F">
        <w:rPr>
          <w:b/>
          <w:lang w:eastAsia="sv-SE"/>
        </w:rPr>
        <w:t>Clarify</w:t>
      </w:r>
      <w:r>
        <w:rPr>
          <w:b/>
          <w:lang w:eastAsia="sv-SE"/>
        </w:rPr>
        <w:t xml:space="preserve"> </w:t>
      </w:r>
      <w:r w:rsidRPr="00B5439F">
        <w:rPr>
          <w:b/>
          <w:i/>
          <w:iCs/>
          <w:lang w:eastAsia="sv-SE"/>
        </w:rPr>
        <w:t>condEventD1</w:t>
      </w:r>
      <w:r>
        <w:rPr>
          <w:b/>
          <w:lang w:eastAsia="sv-SE"/>
        </w:rPr>
        <w:t xml:space="preserve"> </w:t>
      </w:r>
      <w:r w:rsidR="00B5439F">
        <w:rPr>
          <w:b/>
          <w:lang w:eastAsia="sv-SE"/>
        </w:rPr>
        <w:t xml:space="preserve">only applies </w:t>
      </w:r>
      <w:r>
        <w:rPr>
          <w:b/>
          <w:lang w:eastAsia="sv-SE"/>
        </w:rPr>
        <w:t xml:space="preserve">to when both source and target are quasi-Earth fixed cells in the same way as </w:t>
      </w:r>
      <w:r w:rsidRPr="00B5439F">
        <w:rPr>
          <w:b/>
          <w:i/>
          <w:iCs/>
          <w:lang w:eastAsia="sv-SE"/>
        </w:rPr>
        <w:t>condEventD2</w:t>
      </w:r>
      <w:r>
        <w:rPr>
          <w:b/>
          <w:lang w:eastAsia="sv-SE"/>
        </w:rPr>
        <w:t xml:space="preserve"> (i.e., clarify in the event description or leave to </w:t>
      </w:r>
      <w:r w:rsidRPr="00B664BE">
        <w:rPr>
          <w:b/>
          <w:lang w:eastAsia="sv-SE"/>
        </w:rPr>
        <w:t>NW implementation, depending on outcome of Proposal 2).</w:t>
      </w:r>
    </w:p>
    <w:p w14:paraId="377E0382" w14:textId="3B3F4ED8" w:rsidR="00214E6A" w:rsidRPr="00B664BE" w:rsidRDefault="00214E6A" w:rsidP="00214E6A">
      <w:pPr>
        <w:pStyle w:val="Heading1"/>
      </w:pPr>
      <w:r w:rsidRPr="00B664BE">
        <w:t>References</w:t>
      </w:r>
    </w:p>
    <w:p w14:paraId="0DD427EA" w14:textId="5932773C" w:rsidR="000F0E66" w:rsidRPr="00B664BE" w:rsidRDefault="00C304E2" w:rsidP="007C3190">
      <w:pPr>
        <w:pStyle w:val="Reference"/>
        <w:rPr>
          <w:lang w:val="en-US"/>
        </w:rPr>
      </w:pPr>
      <w:r w:rsidRPr="00B664BE">
        <w:rPr>
          <w:lang w:val="en-US"/>
        </w:rPr>
        <w:t>TS 38.331 v18.0.0</w:t>
      </w:r>
    </w:p>
    <w:p w14:paraId="24460599" w14:textId="472C4584" w:rsidR="00CD0A36" w:rsidRPr="00B664BE" w:rsidRDefault="00B664BE" w:rsidP="007C3190">
      <w:pPr>
        <w:pStyle w:val="Reference"/>
        <w:rPr>
          <w:lang w:val="en-US"/>
        </w:rPr>
      </w:pPr>
      <w:r w:rsidRPr="00B664BE">
        <w:rPr>
          <w:lang w:val="en-US"/>
        </w:rPr>
        <w:t>R2-2313772 – Introduction of Rel-18 NTR NTN enhancements (Ericsson)</w:t>
      </w:r>
    </w:p>
    <w:p w14:paraId="1CE2BEE7" w14:textId="77777777" w:rsidR="001970C2" w:rsidRPr="00CA133D" w:rsidRDefault="001970C2">
      <w:pPr>
        <w:pStyle w:val="Reference"/>
        <w:numPr>
          <w:ilvl w:val="0"/>
          <w:numId w:val="0"/>
        </w:numPr>
      </w:pPr>
    </w:p>
    <w:sectPr w:rsidR="001970C2" w:rsidRPr="00CA133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E201" w14:textId="77777777" w:rsidR="009710FD" w:rsidRDefault="009710FD">
      <w:pPr>
        <w:spacing w:after="0"/>
      </w:pPr>
      <w:r>
        <w:separator/>
      </w:r>
    </w:p>
  </w:endnote>
  <w:endnote w:type="continuationSeparator" w:id="0">
    <w:p w14:paraId="1996DFE5" w14:textId="77777777" w:rsidR="009710FD" w:rsidRDefault="00971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B484" w14:textId="77777777" w:rsidR="009710FD" w:rsidRDefault="009710FD">
      <w:pPr>
        <w:spacing w:after="0"/>
      </w:pPr>
      <w:r>
        <w:separator/>
      </w:r>
    </w:p>
  </w:footnote>
  <w:footnote w:type="continuationSeparator" w:id="0">
    <w:p w14:paraId="2582434C" w14:textId="77777777" w:rsidR="009710FD" w:rsidRDefault="009710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70956"/>
    <w:multiLevelType w:val="hybridMultilevel"/>
    <w:tmpl w:val="AF329094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820B3"/>
    <w:multiLevelType w:val="hybridMultilevel"/>
    <w:tmpl w:val="6C6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424264"/>
    <w:multiLevelType w:val="hybridMultilevel"/>
    <w:tmpl w:val="94540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9341B"/>
    <w:multiLevelType w:val="hybridMultilevel"/>
    <w:tmpl w:val="6A62C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7654C8"/>
    <w:multiLevelType w:val="hybridMultilevel"/>
    <w:tmpl w:val="9A16D9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541C9A"/>
    <w:multiLevelType w:val="hybridMultilevel"/>
    <w:tmpl w:val="6F92AD5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463518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1B43FB5"/>
    <w:multiLevelType w:val="hybridMultilevel"/>
    <w:tmpl w:val="F19A233E"/>
    <w:lvl w:ilvl="0" w:tplc="3184DAC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D6363A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0D3003"/>
    <w:multiLevelType w:val="hybridMultilevel"/>
    <w:tmpl w:val="21E0E16A"/>
    <w:lvl w:ilvl="0" w:tplc="EE968C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1"/>
  </w:num>
  <w:num w:numId="2" w16cid:durableId="512574993">
    <w:abstractNumId w:val="18"/>
  </w:num>
  <w:num w:numId="3" w16cid:durableId="1637418349">
    <w:abstractNumId w:val="22"/>
  </w:num>
  <w:num w:numId="4" w16cid:durableId="1058475319">
    <w:abstractNumId w:val="4"/>
  </w:num>
  <w:num w:numId="5" w16cid:durableId="1771269068">
    <w:abstractNumId w:val="14"/>
  </w:num>
  <w:num w:numId="6" w16cid:durableId="803544036">
    <w:abstractNumId w:val="0"/>
  </w:num>
  <w:num w:numId="7" w16cid:durableId="1986810630">
    <w:abstractNumId w:val="29"/>
  </w:num>
  <w:num w:numId="8" w16cid:durableId="990451810">
    <w:abstractNumId w:val="32"/>
  </w:num>
  <w:num w:numId="9" w16cid:durableId="43912098">
    <w:abstractNumId w:val="31"/>
  </w:num>
  <w:num w:numId="10" w16cid:durableId="549611583">
    <w:abstractNumId w:val="2"/>
  </w:num>
  <w:num w:numId="11" w16cid:durableId="227424553">
    <w:abstractNumId w:val="30"/>
  </w:num>
  <w:num w:numId="12" w16cid:durableId="669529228">
    <w:abstractNumId w:val="5"/>
  </w:num>
  <w:num w:numId="13" w16cid:durableId="17004567">
    <w:abstractNumId w:val="16"/>
  </w:num>
  <w:num w:numId="14" w16cid:durableId="531262009">
    <w:abstractNumId w:val="12"/>
  </w:num>
  <w:num w:numId="15" w16cid:durableId="1386445702">
    <w:abstractNumId w:val="24"/>
  </w:num>
  <w:num w:numId="16" w16cid:durableId="73090849">
    <w:abstractNumId w:val="17"/>
  </w:num>
  <w:num w:numId="17" w16cid:durableId="1932928658">
    <w:abstractNumId w:val="28"/>
  </w:num>
  <w:num w:numId="18" w16cid:durableId="1342657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5621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6633085">
    <w:abstractNumId w:val="33"/>
  </w:num>
  <w:num w:numId="21" w16cid:durableId="340164484">
    <w:abstractNumId w:val="20"/>
  </w:num>
  <w:num w:numId="22" w16cid:durableId="1773475603">
    <w:abstractNumId w:val="25"/>
  </w:num>
  <w:num w:numId="23" w16cid:durableId="1691177393">
    <w:abstractNumId w:val="9"/>
  </w:num>
  <w:num w:numId="24" w16cid:durableId="1454592664">
    <w:abstractNumId w:val="15"/>
  </w:num>
  <w:num w:numId="25" w16cid:durableId="281545292">
    <w:abstractNumId w:val="8"/>
  </w:num>
  <w:num w:numId="26" w16cid:durableId="157767961">
    <w:abstractNumId w:val="19"/>
  </w:num>
  <w:num w:numId="27" w16cid:durableId="2120292884">
    <w:abstractNumId w:val="13"/>
  </w:num>
  <w:num w:numId="28" w16cid:durableId="1934505554">
    <w:abstractNumId w:val="26"/>
  </w:num>
  <w:num w:numId="29" w16cid:durableId="2075422412">
    <w:abstractNumId w:val="3"/>
  </w:num>
  <w:num w:numId="30" w16cid:durableId="630330755">
    <w:abstractNumId w:val="6"/>
  </w:num>
  <w:num w:numId="31" w16cid:durableId="1907260896">
    <w:abstractNumId w:val="10"/>
  </w:num>
  <w:num w:numId="32" w16cid:durableId="1688945861">
    <w:abstractNumId w:val="27"/>
  </w:num>
  <w:num w:numId="33" w16cid:durableId="1013916681">
    <w:abstractNumId w:val="11"/>
  </w:num>
  <w:num w:numId="34" w16cid:durableId="1127509856">
    <w:abstractNumId w:val="21"/>
  </w:num>
  <w:num w:numId="35" w16cid:durableId="71855077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371"/>
    <w:rsid w:val="00006F3A"/>
    <w:rsid w:val="00007093"/>
    <w:rsid w:val="000071B8"/>
    <w:rsid w:val="00007DE1"/>
    <w:rsid w:val="0001029F"/>
    <w:rsid w:val="000106E4"/>
    <w:rsid w:val="00010DB9"/>
    <w:rsid w:val="00010DCA"/>
    <w:rsid w:val="00011EA7"/>
    <w:rsid w:val="00011FF9"/>
    <w:rsid w:val="000120D0"/>
    <w:rsid w:val="000124C8"/>
    <w:rsid w:val="00013161"/>
    <w:rsid w:val="00013648"/>
    <w:rsid w:val="000137FE"/>
    <w:rsid w:val="00014330"/>
    <w:rsid w:val="000147E3"/>
    <w:rsid w:val="00014919"/>
    <w:rsid w:val="000149B9"/>
    <w:rsid w:val="000156CB"/>
    <w:rsid w:val="0001655C"/>
    <w:rsid w:val="00016B72"/>
    <w:rsid w:val="00016BC7"/>
    <w:rsid w:val="00016CE8"/>
    <w:rsid w:val="00017865"/>
    <w:rsid w:val="00017A5A"/>
    <w:rsid w:val="00021511"/>
    <w:rsid w:val="000218BA"/>
    <w:rsid w:val="00021A53"/>
    <w:rsid w:val="00021E67"/>
    <w:rsid w:val="00021F53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FB8"/>
    <w:rsid w:val="00032FE0"/>
    <w:rsid w:val="00033B62"/>
    <w:rsid w:val="00033E17"/>
    <w:rsid w:val="00034084"/>
    <w:rsid w:val="000340E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1173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647"/>
    <w:rsid w:val="00046899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2499"/>
    <w:rsid w:val="000528C9"/>
    <w:rsid w:val="000535A9"/>
    <w:rsid w:val="00053693"/>
    <w:rsid w:val="0005377A"/>
    <w:rsid w:val="00053E5C"/>
    <w:rsid w:val="00054079"/>
    <w:rsid w:val="00054E3E"/>
    <w:rsid w:val="000562C1"/>
    <w:rsid w:val="0005637C"/>
    <w:rsid w:val="000565D8"/>
    <w:rsid w:val="00056855"/>
    <w:rsid w:val="00056B72"/>
    <w:rsid w:val="00057265"/>
    <w:rsid w:val="00057486"/>
    <w:rsid w:val="00057BFC"/>
    <w:rsid w:val="000600DC"/>
    <w:rsid w:val="0006093B"/>
    <w:rsid w:val="00061A47"/>
    <w:rsid w:val="00062785"/>
    <w:rsid w:val="00062DF2"/>
    <w:rsid w:val="00063024"/>
    <w:rsid w:val="0006307F"/>
    <w:rsid w:val="00063198"/>
    <w:rsid w:val="000632CF"/>
    <w:rsid w:val="0006339D"/>
    <w:rsid w:val="00063A61"/>
    <w:rsid w:val="00064052"/>
    <w:rsid w:val="00064C6D"/>
    <w:rsid w:val="00065043"/>
    <w:rsid w:val="00065174"/>
    <w:rsid w:val="00065DE4"/>
    <w:rsid w:val="00065F0E"/>
    <w:rsid w:val="00066DAB"/>
    <w:rsid w:val="000674C7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4203"/>
    <w:rsid w:val="00074BF7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FB"/>
    <w:rsid w:val="00084C21"/>
    <w:rsid w:val="000858EB"/>
    <w:rsid w:val="000862E9"/>
    <w:rsid w:val="000872E6"/>
    <w:rsid w:val="00087327"/>
    <w:rsid w:val="000873E9"/>
    <w:rsid w:val="0008793C"/>
    <w:rsid w:val="00087B7C"/>
    <w:rsid w:val="00090802"/>
    <w:rsid w:val="0009112C"/>
    <w:rsid w:val="000912BF"/>
    <w:rsid w:val="00091494"/>
    <w:rsid w:val="0009206D"/>
    <w:rsid w:val="0009239A"/>
    <w:rsid w:val="00093766"/>
    <w:rsid w:val="00093AEB"/>
    <w:rsid w:val="00093F6A"/>
    <w:rsid w:val="00094AE2"/>
    <w:rsid w:val="00094B47"/>
    <w:rsid w:val="00094CD4"/>
    <w:rsid w:val="000954D7"/>
    <w:rsid w:val="00095F01"/>
    <w:rsid w:val="0009617A"/>
    <w:rsid w:val="0009621F"/>
    <w:rsid w:val="0009647D"/>
    <w:rsid w:val="00096BA3"/>
    <w:rsid w:val="000A0200"/>
    <w:rsid w:val="000A0223"/>
    <w:rsid w:val="000A07A2"/>
    <w:rsid w:val="000A0CC9"/>
    <w:rsid w:val="000A16B3"/>
    <w:rsid w:val="000A2503"/>
    <w:rsid w:val="000A2873"/>
    <w:rsid w:val="000A2F75"/>
    <w:rsid w:val="000A35ED"/>
    <w:rsid w:val="000A3F5D"/>
    <w:rsid w:val="000A407D"/>
    <w:rsid w:val="000A419A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ADD"/>
    <w:rsid w:val="000B0EAB"/>
    <w:rsid w:val="000B0F29"/>
    <w:rsid w:val="000B2355"/>
    <w:rsid w:val="000B2FE8"/>
    <w:rsid w:val="000B341E"/>
    <w:rsid w:val="000B358E"/>
    <w:rsid w:val="000B3748"/>
    <w:rsid w:val="000B3BDA"/>
    <w:rsid w:val="000B3CE8"/>
    <w:rsid w:val="000B3F22"/>
    <w:rsid w:val="000B458D"/>
    <w:rsid w:val="000B494E"/>
    <w:rsid w:val="000B4E95"/>
    <w:rsid w:val="000B4FEA"/>
    <w:rsid w:val="000B51A7"/>
    <w:rsid w:val="000B53AB"/>
    <w:rsid w:val="000B5CD2"/>
    <w:rsid w:val="000B678A"/>
    <w:rsid w:val="000B6B1E"/>
    <w:rsid w:val="000B752A"/>
    <w:rsid w:val="000B7AF7"/>
    <w:rsid w:val="000C1122"/>
    <w:rsid w:val="000C1ABE"/>
    <w:rsid w:val="000C1CCC"/>
    <w:rsid w:val="000C2153"/>
    <w:rsid w:val="000C229B"/>
    <w:rsid w:val="000C24FB"/>
    <w:rsid w:val="000C2520"/>
    <w:rsid w:val="000C2A5A"/>
    <w:rsid w:val="000C2BDC"/>
    <w:rsid w:val="000C342C"/>
    <w:rsid w:val="000C3466"/>
    <w:rsid w:val="000C3CF9"/>
    <w:rsid w:val="000C3E68"/>
    <w:rsid w:val="000C3FA9"/>
    <w:rsid w:val="000C3FFA"/>
    <w:rsid w:val="000C4F76"/>
    <w:rsid w:val="000C506C"/>
    <w:rsid w:val="000C588C"/>
    <w:rsid w:val="000C5B54"/>
    <w:rsid w:val="000C684D"/>
    <w:rsid w:val="000C7066"/>
    <w:rsid w:val="000C77CA"/>
    <w:rsid w:val="000D0723"/>
    <w:rsid w:val="000D087E"/>
    <w:rsid w:val="000D0B08"/>
    <w:rsid w:val="000D0FF8"/>
    <w:rsid w:val="000D1226"/>
    <w:rsid w:val="000D1C29"/>
    <w:rsid w:val="000D1F82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61B1"/>
    <w:rsid w:val="000D64A5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646"/>
    <w:rsid w:val="000E475C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48B5"/>
    <w:rsid w:val="000F626B"/>
    <w:rsid w:val="000F750B"/>
    <w:rsid w:val="000F7AEB"/>
    <w:rsid w:val="000F7CD7"/>
    <w:rsid w:val="00100186"/>
    <w:rsid w:val="001003BE"/>
    <w:rsid w:val="001010AE"/>
    <w:rsid w:val="00101456"/>
    <w:rsid w:val="00101E45"/>
    <w:rsid w:val="00102266"/>
    <w:rsid w:val="00102382"/>
    <w:rsid w:val="001023F4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782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B97"/>
    <w:rsid w:val="00121132"/>
    <w:rsid w:val="001217FB"/>
    <w:rsid w:val="00121911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317F4"/>
    <w:rsid w:val="00131FE2"/>
    <w:rsid w:val="001320BA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A20"/>
    <w:rsid w:val="001415EA"/>
    <w:rsid w:val="001424CD"/>
    <w:rsid w:val="0014257D"/>
    <w:rsid w:val="00143787"/>
    <w:rsid w:val="00145082"/>
    <w:rsid w:val="00145102"/>
    <w:rsid w:val="0014651B"/>
    <w:rsid w:val="00146F34"/>
    <w:rsid w:val="00147595"/>
    <w:rsid w:val="00151090"/>
    <w:rsid w:val="001513E7"/>
    <w:rsid w:val="001524D5"/>
    <w:rsid w:val="001525D5"/>
    <w:rsid w:val="001533B0"/>
    <w:rsid w:val="00154799"/>
    <w:rsid w:val="00155464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669"/>
    <w:rsid w:val="001628CC"/>
    <w:rsid w:val="0016297B"/>
    <w:rsid w:val="00162E51"/>
    <w:rsid w:val="00163319"/>
    <w:rsid w:val="00163644"/>
    <w:rsid w:val="001636B3"/>
    <w:rsid w:val="001637C7"/>
    <w:rsid w:val="00163FD2"/>
    <w:rsid w:val="00164778"/>
    <w:rsid w:val="00164EC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072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5C0C"/>
    <w:rsid w:val="00186265"/>
    <w:rsid w:val="0018645E"/>
    <w:rsid w:val="001866E6"/>
    <w:rsid w:val="00186943"/>
    <w:rsid w:val="00186AE3"/>
    <w:rsid w:val="00186BE4"/>
    <w:rsid w:val="00187A1B"/>
    <w:rsid w:val="001904EE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409E"/>
    <w:rsid w:val="001A42A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36FC"/>
    <w:rsid w:val="001B3F4A"/>
    <w:rsid w:val="001B533F"/>
    <w:rsid w:val="001B65D7"/>
    <w:rsid w:val="001B67B6"/>
    <w:rsid w:val="001B692D"/>
    <w:rsid w:val="001B7638"/>
    <w:rsid w:val="001B7800"/>
    <w:rsid w:val="001B7BCF"/>
    <w:rsid w:val="001B7F01"/>
    <w:rsid w:val="001C08E9"/>
    <w:rsid w:val="001C1110"/>
    <w:rsid w:val="001C1E30"/>
    <w:rsid w:val="001C2385"/>
    <w:rsid w:val="001C2715"/>
    <w:rsid w:val="001C37BD"/>
    <w:rsid w:val="001C3A28"/>
    <w:rsid w:val="001C520A"/>
    <w:rsid w:val="001C5412"/>
    <w:rsid w:val="001C57C4"/>
    <w:rsid w:val="001C5E34"/>
    <w:rsid w:val="001C603A"/>
    <w:rsid w:val="001C6392"/>
    <w:rsid w:val="001C6CA0"/>
    <w:rsid w:val="001C6E9A"/>
    <w:rsid w:val="001C717C"/>
    <w:rsid w:val="001C77EC"/>
    <w:rsid w:val="001C7E3A"/>
    <w:rsid w:val="001D0578"/>
    <w:rsid w:val="001D08F9"/>
    <w:rsid w:val="001D0EF8"/>
    <w:rsid w:val="001D12A9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B0B"/>
    <w:rsid w:val="001E50E8"/>
    <w:rsid w:val="001E5252"/>
    <w:rsid w:val="001E55BE"/>
    <w:rsid w:val="001E5E58"/>
    <w:rsid w:val="001E6291"/>
    <w:rsid w:val="001E648E"/>
    <w:rsid w:val="001E6E06"/>
    <w:rsid w:val="001E6FD8"/>
    <w:rsid w:val="001E771F"/>
    <w:rsid w:val="001E77E5"/>
    <w:rsid w:val="001E7C67"/>
    <w:rsid w:val="001E7DA2"/>
    <w:rsid w:val="001F0E7F"/>
    <w:rsid w:val="001F1164"/>
    <w:rsid w:val="001F19E9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D43"/>
    <w:rsid w:val="00201F2D"/>
    <w:rsid w:val="00201F49"/>
    <w:rsid w:val="00201FCD"/>
    <w:rsid w:val="002020F1"/>
    <w:rsid w:val="0020265B"/>
    <w:rsid w:val="002027E2"/>
    <w:rsid w:val="00202B50"/>
    <w:rsid w:val="00202F8E"/>
    <w:rsid w:val="00203386"/>
    <w:rsid w:val="002034C1"/>
    <w:rsid w:val="002042AF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0B9B"/>
    <w:rsid w:val="00211533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FA4"/>
    <w:rsid w:val="002140B8"/>
    <w:rsid w:val="002143FA"/>
    <w:rsid w:val="00214E6A"/>
    <w:rsid w:val="002160C7"/>
    <w:rsid w:val="00217472"/>
    <w:rsid w:val="00217CB7"/>
    <w:rsid w:val="00217CF5"/>
    <w:rsid w:val="0022034A"/>
    <w:rsid w:val="002207CE"/>
    <w:rsid w:val="00220AF5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B05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3105"/>
    <w:rsid w:val="00243E94"/>
    <w:rsid w:val="002442DE"/>
    <w:rsid w:val="00244C54"/>
    <w:rsid w:val="00245DDE"/>
    <w:rsid w:val="00245F8D"/>
    <w:rsid w:val="002460B3"/>
    <w:rsid w:val="00246D67"/>
    <w:rsid w:val="00247097"/>
    <w:rsid w:val="00247187"/>
    <w:rsid w:val="0024763F"/>
    <w:rsid w:val="00247D30"/>
    <w:rsid w:val="002502C9"/>
    <w:rsid w:val="00250879"/>
    <w:rsid w:val="00250B8B"/>
    <w:rsid w:val="00251383"/>
    <w:rsid w:val="002514A4"/>
    <w:rsid w:val="002516C2"/>
    <w:rsid w:val="00251F92"/>
    <w:rsid w:val="00252063"/>
    <w:rsid w:val="00252C05"/>
    <w:rsid w:val="00252D82"/>
    <w:rsid w:val="00253261"/>
    <w:rsid w:val="00254521"/>
    <w:rsid w:val="00254CE1"/>
    <w:rsid w:val="00254F05"/>
    <w:rsid w:val="0025506B"/>
    <w:rsid w:val="0025509B"/>
    <w:rsid w:val="0025555F"/>
    <w:rsid w:val="00256EFA"/>
    <w:rsid w:val="002607BA"/>
    <w:rsid w:val="0026128D"/>
    <w:rsid w:val="00261CEE"/>
    <w:rsid w:val="0026245C"/>
    <w:rsid w:val="00263276"/>
    <w:rsid w:val="002638A0"/>
    <w:rsid w:val="00264152"/>
    <w:rsid w:val="002642C0"/>
    <w:rsid w:val="00264B77"/>
    <w:rsid w:val="00264F18"/>
    <w:rsid w:val="00264F26"/>
    <w:rsid w:val="002655B2"/>
    <w:rsid w:val="002655E6"/>
    <w:rsid w:val="00265D9E"/>
    <w:rsid w:val="0026617D"/>
    <w:rsid w:val="0026695A"/>
    <w:rsid w:val="00266BF6"/>
    <w:rsid w:val="00267AC4"/>
    <w:rsid w:val="00267CF0"/>
    <w:rsid w:val="00267E97"/>
    <w:rsid w:val="0027141A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3151"/>
    <w:rsid w:val="00283297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009"/>
    <w:rsid w:val="002902C2"/>
    <w:rsid w:val="00290845"/>
    <w:rsid w:val="00291CA8"/>
    <w:rsid w:val="00292A49"/>
    <w:rsid w:val="00293C07"/>
    <w:rsid w:val="00294317"/>
    <w:rsid w:val="0029451E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49D"/>
    <w:rsid w:val="002A2BF3"/>
    <w:rsid w:val="002A33C5"/>
    <w:rsid w:val="002A3922"/>
    <w:rsid w:val="002A3C68"/>
    <w:rsid w:val="002A52FB"/>
    <w:rsid w:val="002A5D66"/>
    <w:rsid w:val="002A5F50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516B"/>
    <w:rsid w:val="002B5810"/>
    <w:rsid w:val="002B5926"/>
    <w:rsid w:val="002B6038"/>
    <w:rsid w:val="002B65DD"/>
    <w:rsid w:val="002B70DF"/>
    <w:rsid w:val="002B7654"/>
    <w:rsid w:val="002B791D"/>
    <w:rsid w:val="002C0C00"/>
    <w:rsid w:val="002C0C8F"/>
    <w:rsid w:val="002C0FA5"/>
    <w:rsid w:val="002C1969"/>
    <w:rsid w:val="002C2AA8"/>
    <w:rsid w:val="002C3BAD"/>
    <w:rsid w:val="002C4234"/>
    <w:rsid w:val="002C4C25"/>
    <w:rsid w:val="002C4C84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497"/>
    <w:rsid w:val="002C7954"/>
    <w:rsid w:val="002C7BAF"/>
    <w:rsid w:val="002D0B80"/>
    <w:rsid w:val="002D11B5"/>
    <w:rsid w:val="002D16E9"/>
    <w:rsid w:val="002D19F9"/>
    <w:rsid w:val="002D1BA6"/>
    <w:rsid w:val="002D1F0D"/>
    <w:rsid w:val="002D22AF"/>
    <w:rsid w:val="002D2440"/>
    <w:rsid w:val="002D2A65"/>
    <w:rsid w:val="002D3101"/>
    <w:rsid w:val="002D364C"/>
    <w:rsid w:val="002D3C8A"/>
    <w:rsid w:val="002D3DE4"/>
    <w:rsid w:val="002D3ECB"/>
    <w:rsid w:val="002D4071"/>
    <w:rsid w:val="002D4C18"/>
    <w:rsid w:val="002D56B7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2A33"/>
    <w:rsid w:val="002E2C44"/>
    <w:rsid w:val="002E2C5D"/>
    <w:rsid w:val="002E2DAD"/>
    <w:rsid w:val="002E3217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82"/>
    <w:rsid w:val="00304162"/>
    <w:rsid w:val="00304F74"/>
    <w:rsid w:val="00304FFD"/>
    <w:rsid w:val="003051F9"/>
    <w:rsid w:val="00305716"/>
    <w:rsid w:val="003068D1"/>
    <w:rsid w:val="003077AA"/>
    <w:rsid w:val="003078FF"/>
    <w:rsid w:val="00307A4A"/>
    <w:rsid w:val="00307D7F"/>
    <w:rsid w:val="00307E25"/>
    <w:rsid w:val="0031018F"/>
    <w:rsid w:val="0031030C"/>
    <w:rsid w:val="003104C6"/>
    <w:rsid w:val="00310836"/>
    <w:rsid w:val="00311052"/>
    <w:rsid w:val="00311670"/>
    <w:rsid w:val="003117C2"/>
    <w:rsid w:val="00311B1E"/>
    <w:rsid w:val="003121FD"/>
    <w:rsid w:val="0031237E"/>
    <w:rsid w:val="00313D77"/>
    <w:rsid w:val="00313EC7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7B2"/>
    <w:rsid w:val="00320692"/>
    <w:rsid w:val="003206C8"/>
    <w:rsid w:val="00320F62"/>
    <w:rsid w:val="00321074"/>
    <w:rsid w:val="00321A83"/>
    <w:rsid w:val="003222F2"/>
    <w:rsid w:val="0032233F"/>
    <w:rsid w:val="00322461"/>
    <w:rsid w:val="00322F6D"/>
    <w:rsid w:val="003233BB"/>
    <w:rsid w:val="003235D7"/>
    <w:rsid w:val="00323DB8"/>
    <w:rsid w:val="0032404B"/>
    <w:rsid w:val="003245C2"/>
    <w:rsid w:val="0032480A"/>
    <w:rsid w:val="00324A4F"/>
    <w:rsid w:val="00325183"/>
    <w:rsid w:val="003253D8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2D67"/>
    <w:rsid w:val="00332E97"/>
    <w:rsid w:val="00333E9C"/>
    <w:rsid w:val="003340C4"/>
    <w:rsid w:val="00334162"/>
    <w:rsid w:val="00334830"/>
    <w:rsid w:val="003349EB"/>
    <w:rsid w:val="00334E7B"/>
    <w:rsid w:val="003353EF"/>
    <w:rsid w:val="00335F04"/>
    <w:rsid w:val="00336126"/>
    <w:rsid w:val="00337DD2"/>
    <w:rsid w:val="00337F69"/>
    <w:rsid w:val="00341C4F"/>
    <w:rsid w:val="0034241F"/>
    <w:rsid w:val="00342699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069F"/>
    <w:rsid w:val="0035244D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6063"/>
    <w:rsid w:val="003561BB"/>
    <w:rsid w:val="00356F5B"/>
    <w:rsid w:val="00357379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830"/>
    <w:rsid w:val="00374A9B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4E9"/>
    <w:rsid w:val="00392DB7"/>
    <w:rsid w:val="00393711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E6B"/>
    <w:rsid w:val="003A1FBC"/>
    <w:rsid w:val="003A20CA"/>
    <w:rsid w:val="003A2818"/>
    <w:rsid w:val="003A2C98"/>
    <w:rsid w:val="003A4F0D"/>
    <w:rsid w:val="003A4F40"/>
    <w:rsid w:val="003A57AD"/>
    <w:rsid w:val="003A5CB7"/>
    <w:rsid w:val="003A648F"/>
    <w:rsid w:val="003A69F4"/>
    <w:rsid w:val="003A6BA5"/>
    <w:rsid w:val="003A6F94"/>
    <w:rsid w:val="003A7264"/>
    <w:rsid w:val="003B1683"/>
    <w:rsid w:val="003B1909"/>
    <w:rsid w:val="003B23ED"/>
    <w:rsid w:val="003B2688"/>
    <w:rsid w:val="003B3574"/>
    <w:rsid w:val="003B35BB"/>
    <w:rsid w:val="003B35E8"/>
    <w:rsid w:val="003B3C46"/>
    <w:rsid w:val="003B5B04"/>
    <w:rsid w:val="003B6533"/>
    <w:rsid w:val="003B6DD3"/>
    <w:rsid w:val="003C038E"/>
    <w:rsid w:val="003C0A21"/>
    <w:rsid w:val="003C113D"/>
    <w:rsid w:val="003C157F"/>
    <w:rsid w:val="003C15ED"/>
    <w:rsid w:val="003C2007"/>
    <w:rsid w:val="003C25AE"/>
    <w:rsid w:val="003C30B2"/>
    <w:rsid w:val="003C3594"/>
    <w:rsid w:val="003C4673"/>
    <w:rsid w:val="003C4E90"/>
    <w:rsid w:val="003C55DA"/>
    <w:rsid w:val="003C6420"/>
    <w:rsid w:val="003C7D43"/>
    <w:rsid w:val="003C7DB7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650D"/>
    <w:rsid w:val="003D65EC"/>
    <w:rsid w:val="003D6E9F"/>
    <w:rsid w:val="003D7DCE"/>
    <w:rsid w:val="003E0A41"/>
    <w:rsid w:val="003E1038"/>
    <w:rsid w:val="003E14C9"/>
    <w:rsid w:val="003E2447"/>
    <w:rsid w:val="003E27D4"/>
    <w:rsid w:val="003E2A40"/>
    <w:rsid w:val="003E2A7F"/>
    <w:rsid w:val="003E2ECA"/>
    <w:rsid w:val="003E50E3"/>
    <w:rsid w:val="003E5696"/>
    <w:rsid w:val="003E5B05"/>
    <w:rsid w:val="003E5DDC"/>
    <w:rsid w:val="003E5E88"/>
    <w:rsid w:val="003E6ACC"/>
    <w:rsid w:val="003E70CA"/>
    <w:rsid w:val="003E72B4"/>
    <w:rsid w:val="003F0185"/>
    <w:rsid w:val="003F1667"/>
    <w:rsid w:val="003F1A26"/>
    <w:rsid w:val="003F3AF9"/>
    <w:rsid w:val="003F3DB7"/>
    <w:rsid w:val="003F3E94"/>
    <w:rsid w:val="003F4180"/>
    <w:rsid w:val="003F498E"/>
    <w:rsid w:val="003F4D2B"/>
    <w:rsid w:val="003F5DB1"/>
    <w:rsid w:val="003F5DF0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549B"/>
    <w:rsid w:val="00405534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6F68"/>
    <w:rsid w:val="004178A3"/>
    <w:rsid w:val="00417C65"/>
    <w:rsid w:val="0042065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505B"/>
    <w:rsid w:val="00425F99"/>
    <w:rsid w:val="004263AC"/>
    <w:rsid w:val="00426CB6"/>
    <w:rsid w:val="00427195"/>
    <w:rsid w:val="00427B61"/>
    <w:rsid w:val="00430366"/>
    <w:rsid w:val="00430F31"/>
    <w:rsid w:val="0043267D"/>
    <w:rsid w:val="00433AF8"/>
    <w:rsid w:val="00433F58"/>
    <w:rsid w:val="00434ACB"/>
    <w:rsid w:val="00435B4A"/>
    <w:rsid w:val="00435F58"/>
    <w:rsid w:val="00436031"/>
    <w:rsid w:val="004363C0"/>
    <w:rsid w:val="0043692E"/>
    <w:rsid w:val="00436C68"/>
    <w:rsid w:val="00437A3C"/>
    <w:rsid w:val="0044049B"/>
    <w:rsid w:val="00440C2E"/>
    <w:rsid w:val="0044229E"/>
    <w:rsid w:val="00442888"/>
    <w:rsid w:val="00443259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8B6"/>
    <w:rsid w:val="00447E11"/>
    <w:rsid w:val="00447EB8"/>
    <w:rsid w:val="00450D0E"/>
    <w:rsid w:val="00451022"/>
    <w:rsid w:val="004510BB"/>
    <w:rsid w:val="0045137B"/>
    <w:rsid w:val="00451891"/>
    <w:rsid w:val="00451ABF"/>
    <w:rsid w:val="00452531"/>
    <w:rsid w:val="00452D71"/>
    <w:rsid w:val="00455155"/>
    <w:rsid w:val="00456988"/>
    <w:rsid w:val="00456A8C"/>
    <w:rsid w:val="00456C4A"/>
    <w:rsid w:val="00456D03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60FD"/>
    <w:rsid w:val="00466B53"/>
    <w:rsid w:val="004677D3"/>
    <w:rsid w:val="004706A4"/>
    <w:rsid w:val="00470765"/>
    <w:rsid w:val="00470D40"/>
    <w:rsid w:val="00471117"/>
    <w:rsid w:val="004718AB"/>
    <w:rsid w:val="00471DFD"/>
    <w:rsid w:val="00472ADB"/>
    <w:rsid w:val="0047365E"/>
    <w:rsid w:val="00473B55"/>
    <w:rsid w:val="004741C0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403E"/>
    <w:rsid w:val="0048508B"/>
    <w:rsid w:val="0048544B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94A"/>
    <w:rsid w:val="004929DB"/>
    <w:rsid w:val="00492BDC"/>
    <w:rsid w:val="00492D21"/>
    <w:rsid w:val="004931C8"/>
    <w:rsid w:val="0049371C"/>
    <w:rsid w:val="00493E97"/>
    <w:rsid w:val="00494663"/>
    <w:rsid w:val="00497412"/>
    <w:rsid w:val="004A024B"/>
    <w:rsid w:val="004A02DA"/>
    <w:rsid w:val="004A0EA1"/>
    <w:rsid w:val="004A18B7"/>
    <w:rsid w:val="004A23E3"/>
    <w:rsid w:val="004A2C2E"/>
    <w:rsid w:val="004A2DE1"/>
    <w:rsid w:val="004A3D79"/>
    <w:rsid w:val="004A429F"/>
    <w:rsid w:val="004A47EA"/>
    <w:rsid w:val="004A5A58"/>
    <w:rsid w:val="004A5DF4"/>
    <w:rsid w:val="004A6080"/>
    <w:rsid w:val="004A62A6"/>
    <w:rsid w:val="004A68E3"/>
    <w:rsid w:val="004A6A30"/>
    <w:rsid w:val="004A6F17"/>
    <w:rsid w:val="004A76D2"/>
    <w:rsid w:val="004A7E6B"/>
    <w:rsid w:val="004B034E"/>
    <w:rsid w:val="004B0552"/>
    <w:rsid w:val="004B168C"/>
    <w:rsid w:val="004B2754"/>
    <w:rsid w:val="004B2D9F"/>
    <w:rsid w:val="004B3451"/>
    <w:rsid w:val="004B3D52"/>
    <w:rsid w:val="004B44AC"/>
    <w:rsid w:val="004B4A2A"/>
    <w:rsid w:val="004B552A"/>
    <w:rsid w:val="004B5671"/>
    <w:rsid w:val="004B595E"/>
    <w:rsid w:val="004B5A4F"/>
    <w:rsid w:val="004B5C78"/>
    <w:rsid w:val="004B6DEF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4A64"/>
    <w:rsid w:val="004D581F"/>
    <w:rsid w:val="004D6A74"/>
    <w:rsid w:val="004D6A98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749"/>
    <w:rsid w:val="004F0051"/>
    <w:rsid w:val="004F05AD"/>
    <w:rsid w:val="004F1369"/>
    <w:rsid w:val="004F1D98"/>
    <w:rsid w:val="004F20AF"/>
    <w:rsid w:val="004F20F0"/>
    <w:rsid w:val="004F27D8"/>
    <w:rsid w:val="004F2C9A"/>
    <w:rsid w:val="004F38B1"/>
    <w:rsid w:val="004F3A48"/>
    <w:rsid w:val="004F40B9"/>
    <w:rsid w:val="004F4720"/>
    <w:rsid w:val="004F4C31"/>
    <w:rsid w:val="004F5A03"/>
    <w:rsid w:val="004F5D97"/>
    <w:rsid w:val="004F60A0"/>
    <w:rsid w:val="004F6906"/>
    <w:rsid w:val="004F6B3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562"/>
    <w:rsid w:val="00510D3C"/>
    <w:rsid w:val="005122A9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C"/>
    <w:rsid w:val="00523C26"/>
    <w:rsid w:val="005244C6"/>
    <w:rsid w:val="00524E62"/>
    <w:rsid w:val="0052583E"/>
    <w:rsid w:val="00525AA4"/>
    <w:rsid w:val="00526BCD"/>
    <w:rsid w:val="00530604"/>
    <w:rsid w:val="00530CCA"/>
    <w:rsid w:val="00531436"/>
    <w:rsid w:val="005316A3"/>
    <w:rsid w:val="00531A8B"/>
    <w:rsid w:val="00531FF1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DD8"/>
    <w:rsid w:val="00542403"/>
    <w:rsid w:val="00542BE3"/>
    <w:rsid w:val="00543E27"/>
    <w:rsid w:val="00543ECE"/>
    <w:rsid w:val="005447B9"/>
    <w:rsid w:val="00545BF7"/>
    <w:rsid w:val="00545FBF"/>
    <w:rsid w:val="0054698B"/>
    <w:rsid w:val="00551165"/>
    <w:rsid w:val="005513CD"/>
    <w:rsid w:val="00551DBC"/>
    <w:rsid w:val="00552217"/>
    <w:rsid w:val="00552793"/>
    <w:rsid w:val="00554C02"/>
    <w:rsid w:val="00554C1F"/>
    <w:rsid w:val="00555A97"/>
    <w:rsid w:val="00555C85"/>
    <w:rsid w:val="0055656F"/>
    <w:rsid w:val="00556FEA"/>
    <w:rsid w:val="0055721F"/>
    <w:rsid w:val="00557A88"/>
    <w:rsid w:val="00560653"/>
    <w:rsid w:val="005617F5"/>
    <w:rsid w:val="00561864"/>
    <w:rsid w:val="00561992"/>
    <w:rsid w:val="00561EB5"/>
    <w:rsid w:val="0056236F"/>
    <w:rsid w:val="00562775"/>
    <w:rsid w:val="00562AE7"/>
    <w:rsid w:val="00564301"/>
    <w:rsid w:val="0056474A"/>
    <w:rsid w:val="005658A7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2179"/>
    <w:rsid w:val="0057237E"/>
    <w:rsid w:val="00572FBD"/>
    <w:rsid w:val="00573492"/>
    <w:rsid w:val="005746F6"/>
    <w:rsid w:val="005749EA"/>
    <w:rsid w:val="00574BAB"/>
    <w:rsid w:val="00574BF9"/>
    <w:rsid w:val="00574E7E"/>
    <w:rsid w:val="00575262"/>
    <w:rsid w:val="005760EE"/>
    <w:rsid w:val="00576304"/>
    <w:rsid w:val="00576380"/>
    <w:rsid w:val="0057657A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F43"/>
    <w:rsid w:val="00585709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6B2"/>
    <w:rsid w:val="005A0145"/>
    <w:rsid w:val="005A01AE"/>
    <w:rsid w:val="005A06E8"/>
    <w:rsid w:val="005A0F76"/>
    <w:rsid w:val="005A0F8A"/>
    <w:rsid w:val="005A13E3"/>
    <w:rsid w:val="005A1402"/>
    <w:rsid w:val="005A2012"/>
    <w:rsid w:val="005A26C3"/>
    <w:rsid w:val="005A4108"/>
    <w:rsid w:val="005A4853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653F"/>
    <w:rsid w:val="005C699A"/>
    <w:rsid w:val="005C736C"/>
    <w:rsid w:val="005C7D1C"/>
    <w:rsid w:val="005D0318"/>
    <w:rsid w:val="005D0580"/>
    <w:rsid w:val="005D07CC"/>
    <w:rsid w:val="005D0C23"/>
    <w:rsid w:val="005D102F"/>
    <w:rsid w:val="005D1E65"/>
    <w:rsid w:val="005D21E3"/>
    <w:rsid w:val="005D307A"/>
    <w:rsid w:val="005D3700"/>
    <w:rsid w:val="005D3FFC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5E6A"/>
    <w:rsid w:val="005E6635"/>
    <w:rsid w:val="005E6DD1"/>
    <w:rsid w:val="005E73D2"/>
    <w:rsid w:val="005E758C"/>
    <w:rsid w:val="005F0535"/>
    <w:rsid w:val="005F078A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C35"/>
    <w:rsid w:val="005F3198"/>
    <w:rsid w:val="005F32FF"/>
    <w:rsid w:val="005F3F37"/>
    <w:rsid w:val="005F4507"/>
    <w:rsid w:val="005F4E02"/>
    <w:rsid w:val="005F54ED"/>
    <w:rsid w:val="005F576B"/>
    <w:rsid w:val="005F6B7C"/>
    <w:rsid w:val="005F6E42"/>
    <w:rsid w:val="005F7A0C"/>
    <w:rsid w:val="00600416"/>
    <w:rsid w:val="0060048E"/>
    <w:rsid w:val="00600586"/>
    <w:rsid w:val="0060178A"/>
    <w:rsid w:val="00601917"/>
    <w:rsid w:val="006019EA"/>
    <w:rsid w:val="006020CD"/>
    <w:rsid w:val="00602DE2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EC2"/>
    <w:rsid w:val="00607EDE"/>
    <w:rsid w:val="006109C1"/>
    <w:rsid w:val="00611717"/>
    <w:rsid w:val="00612C27"/>
    <w:rsid w:val="00612C30"/>
    <w:rsid w:val="00613D2F"/>
    <w:rsid w:val="00614706"/>
    <w:rsid w:val="00614B20"/>
    <w:rsid w:val="00615567"/>
    <w:rsid w:val="00615857"/>
    <w:rsid w:val="00615DC7"/>
    <w:rsid w:val="00616530"/>
    <w:rsid w:val="00616E4A"/>
    <w:rsid w:val="00617F1A"/>
    <w:rsid w:val="00620302"/>
    <w:rsid w:val="0062043C"/>
    <w:rsid w:val="006213D5"/>
    <w:rsid w:val="00621A2F"/>
    <w:rsid w:val="00622FE6"/>
    <w:rsid w:val="0062377F"/>
    <w:rsid w:val="00623B2B"/>
    <w:rsid w:val="00623C96"/>
    <w:rsid w:val="0062428D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FFC"/>
    <w:rsid w:val="00631B73"/>
    <w:rsid w:val="006320A2"/>
    <w:rsid w:val="006326A5"/>
    <w:rsid w:val="00633507"/>
    <w:rsid w:val="006335B2"/>
    <w:rsid w:val="00633636"/>
    <w:rsid w:val="00634B98"/>
    <w:rsid w:val="00635364"/>
    <w:rsid w:val="00635BD3"/>
    <w:rsid w:val="006361B5"/>
    <w:rsid w:val="0063640E"/>
    <w:rsid w:val="006368BD"/>
    <w:rsid w:val="00637484"/>
    <w:rsid w:val="006402B7"/>
    <w:rsid w:val="006406E1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3DB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681"/>
    <w:rsid w:val="0065194F"/>
    <w:rsid w:val="0065204C"/>
    <w:rsid w:val="00652072"/>
    <w:rsid w:val="00653CA3"/>
    <w:rsid w:val="00654079"/>
    <w:rsid w:val="0065423A"/>
    <w:rsid w:val="00654A3A"/>
    <w:rsid w:val="00654E3F"/>
    <w:rsid w:val="006559BB"/>
    <w:rsid w:val="006559BD"/>
    <w:rsid w:val="006574EC"/>
    <w:rsid w:val="00657875"/>
    <w:rsid w:val="0066032B"/>
    <w:rsid w:val="00660E23"/>
    <w:rsid w:val="00661149"/>
    <w:rsid w:val="00661294"/>
    <w:rsid w:val="0066144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60E2"/>
    <w:rsid w:val="00676C26"/>
    <w:rsid w:val="00676E80"/>
    <w:rsid w:val="00677191"/>
    <w:rsid w:val="006773E5"/>
    <w:rsid w:val="006777B3"/>
    <w:rsid w:val="006779C9"/>
    <w:rsid w:val="00677AE7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509D"/>
    <w:rsid w:val="00685D9F"/>
    <w:rsid w:val="006861D1"/>
    <w:rsid w:val="00686903"/>
    <w:rsid w:val="006875FC"/>
    <w:rsid w:val="00687756"/>
    <w:rsid w:val="00687B94"/>
    <w:rsid w:val="006902AE"/>
    <w:rsid w:val="00690B03"/>
    <w:rsid w:val="0069102C"/>
    <w:rsid w:val="00691120"/>
    <w:rsid w:val="00691FF3"/>
    <w:rsid w:val="00692144"/>
    <w:rsid w:val="006923A8"/>
    <w:rsid w:val="0069247F"/>
    <w:rsid w:val="00693F36"/>
    <w:rsid w:val="00693F63"/>
    <w:rsid w:val="006941A0"/>
    <w:rsid w:val="0069485E"/>
    <w:rsid w:val="00695046"/>
    <w:rsid w:val="00695334"/>
    <w:rsid w:val="006953DC"/>
    <w:rsid w:val="00695DF6"/>
    <w:rsid w:val="00695F74"/>
    <w:rsid w:val="0069738C"/>
    <w:rsid w:val="00697E1B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B07AA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179"/>
    <w:rsid w:val="006B5C91"/>
    <w:rsid w:val="006B5FE5"/>
    <w:rsid w:val="006B61C5"/>
    <w:rsid w:val="006B76C2"/>
    <w:rsid w:val="006B7875"/>
    <w:rsid w:val="006C07EB"/>
    <w:rsid w:val="006C0988"/>
    <w:rsid w:val="006C34CE"/>
    <w:rsid w:val="006C360E"/>
    <w:rsid w:val="006C3746"/>
    <w:rsid w:val="006C39BD"/>
    <w:rsid w:val="006C3FD6"/>
    <w:rsid w:val="006C4A5B"/>
    <w:rsid w:val="006C527B"/>
    <w:rsid w:val="006C6A24"/>
    <w:rsid w:val="006C712C"/>
    <w:rsid w:val="006C77D0"/>
    <w:rsid w:val="006C7FA6"/>
    <w:rsid w:val="006D0680"/>
    <w:rsid w:val="006D1571"/>
    <w:rsid w:val="006D1833"/>
    <w:rsid w:val="006D1D07"/>
    <w:rsid w:val="006D1D3A"/>
    <w:rsid w:val="006D246E"/>
    <w:rsid w:val="006D317C"/>
    <w:rsid w:val="006D384F"/>
    <w:rsid w:val="006D386D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F0C19"/>
    <w:rsid w:val="006F10A6"/>
    <w:rsid w:val="006F1379"/>
    <w:rsid w:val="006F22F6"/>
    <w:rsid w:val="006F26BC"/>
    <w:rsid w:val="006F2921"/>
    <w:rsid w:val="006F2C0D"/>
    <w:rsid w:val="006F2E11"/>
    <w:rsid w:val="006F2E6E"/>
    <w:rsid w:val="006F3669"/>
    <w:rsid w:val="006F4C33"/>
    <w:rsid w:val="006F4CC9"/>
    <w:rsid w:val="006F5414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16D1"/>
    <w:rsid w:val="007017A8"/>
    <w:rsid w:val="007018BB"/>
    <w:rsid w:val="0070274C"/>
    <w:rsid w:val="0070408E"/>
    <w:rsid w:val="00704645"/>
    <w:rsid w:val="00707951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42B9"/>
    <w:rsid w:val="007144B3"/>
    <w:rsid w:val="007145C8"/>
    <w:rsid w:val="00714E25"/>
    <w:rsid w:val="00715F36"/>
    <w:rsid w:val="0071627A"/>
    <w:rsid w:val="007162F7"/>
    <w:rsid w:val="00720F1B"/>
    <w:rsid w:val="007213A5"/>
    <w:rsid w:val="00721420"/>
    <w:rsid w:val="0072156A"/>
    <w:rsid w:val="007215E2"/>
    <w:rsid w:val="007217D9"/>
    <w:rsid w:val="00721A2C"/>
    <w:rsid w:val="007224EF"/>
    <w:rsid w:val="00722C6E"/>
    <w:rsid w:val="00723545"/>
    <w:rsid w:val="007236F5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4B66"/>
    <w:rsid w:val="00734D0C"/>
    <w:rsid w:val="00736130"/>
    <w:rsid w:val="00736AD1"/>
    <w:rsid w:val="007379BD"/>
    <w:rsid w:val="00737ACF"/>
    <w:rsid w:val="00737E53"/>
    <w:rsid w:val="00740A33"/>
    <w:rsid w:val="0074113D"/>
    <w:rsid w:val="00741EFE"/>
    <w:rsid w:val="0074243D"/>
    <w:rsid w:val="00742934"/>
    <w:rsid w:val="00742BD8"/>
    <w:rsid w:val="00742D67"/>
    <w:rsid w:val="00742EAE"/>
    <w:rsid w:val="00743880"/>
    <w:rsid w:val="007445AE"/>
    <w:rsid w:val="00744CDE"/>
    <w:rsid w:val="00745110"/>
    <w:rsid w:val="00745CDD"/>
    <w:rsid w:val="00745DBD"/>
    <w:rsid w:val="00745E52"/>
    <w:rsid w:val="00746ED9"/>
    <w:rsid w:val="00747236"/>
    <w:rsid w:val="00747240"/>
    <w:rsid w:val="007477E4"/>
    <w:rsid w:val="007505C6"/>
    <w:rsid w:val="00750DE8"/>
    <w:rsid w:val="00750FDD"/>
    <w:rsid w:val="00751094"/>
    <w:rsid w:val="0075169D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83E"/>
    <w:rsid w:val="00765B0C"/>
    <w:rsid w:val="0076685C"/>
    <w:rsid w:val="00766A77"/>
    <w:rsid w:val="00766B29"/>
    <w:rsid w:val="00766B3D"/>
    <w:rsid w:val="00766FE6"/>
    <w:rsid w:val="00767161"/>
    <w:rsid w:val="007678FE"/>
    <w:rsid w:val="007679C5"/>
    <w:rsid w:val="0077010F"/>
    <w:rsid w:val="00770A26"/>
    <w:rsid w:val="0077154F"/>
    <w:rsid w:val="00771A4A"/>
    <w:rsid w:val="00771E64"/>
    <w:rsid w:val="00773361"/>
    <w:rsid w:val="0077375E"/>
    <w:rsid w:val="007738C8"/>
    <w:rsid w:val="00773BC8"/>
    <w:rsid w:val="00774669"/>
    <w:rsid w:val="00775534"/>
    <w:rsid w:val="00775B6A"/>
    <w:rsid w:val="00776884"/>
    <w:rsid w:val="00776C91"/>
    <w:rsid w:val="00777492"/>
    <w:rsid w:val="00777798"/>
    <w:rsid w:val="007778A5"/>
    <w:rsid w:val="007778EC"/>
    <w:rsid w:val="00777936"/>
    <w:rsid w:val="0078079B"/>
    <w:rsid w:val="007818F5"/>
    <w:rsid w:val="00781DDC"/>
    <w:rsid w:val="00781FB3"/>
    <w:rsid w:val="00782864"/>
    <w:rsid w:val="00784319"/>
    <w:rsid w:val="00785D81"/>
    <w:rsid w:val="00786305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F64"/>
    <w:rsid w:val="007A232B"/>
    <w:rsid w:val="007A354A"/>
    <w:rsid w:val="007A42C2"/>
    <w:rsid w:val="007A5682"/>
    <w:rsid w:val="007A5871"/>
    <w:rsid w:val="007A629A"/>
    <w:rsid w:val="007A6564"/>
    <w:rsid w:val="007A7545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4414"/>
    <w:rsid w:val="007B4675"/>
    <w:rsid w:val="007B476E"/>
    <w:rsid w:val="007B47F7"/>
    <w:rsid w:val="007B494C"/>
    <w:rsid w:val="007B4C8F"/>
    <w:rsid w:val="007B4EAD"/>
    <w:rsid w:val="007B676C"/>
    <w:rsid w:val="007B6FF0"/>
    <w:rsid w:val="007B7238"/>
    <w:rsid w:val="007B7822"/>
    <w:rsid w:val="007B7F79"/>
    <w:rsid w:val="007C06C5"/>
    <w:rsid w:val="007C08D9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4CE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1A7C"/>
    <w:rsid w:val="007E1E5D"/>
    <w:rsid w:val="007E2170"/>
    <w:rsid w:val="007E290D"/>
    <w:rsid w:val="007E3967"/>
    <w:rsid w:val="007E3D48"/>
    <w:rsid w:val="007E3E77"/>
    <w:rsid w:val="007E48D9"/>
    <w:rsid w:val="007E510A"/>
    <w:rsid w:val="007E5295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1CBD"/>
    <w:rsid w:val="00801D3E"/>
    <w:rsid w:val="00801D8F"/>
    <w:rsid w:val="0080229F"/>
    <w:rsid w:val="0080295A"/>
    <w:rsid w:val="00803C0F"/>
    <w:rsid w:val="00803DAA"/>
    <w:rsid w:val="0080546F"/>
    <w:rsid w:val="008058FC"/>
    <w:rsid w:val="00805919"/>
    <w:rsid w:val="00805BE8"/>
    <w:rsid w:val="00805CE5"/>
    <w:rsid w:val="00806B3F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2FDA"/>
    <w:rsid w:val="0081334D"/>
    <w:rsid w:val="00814A4B"/>
    <w:rsid w:val="00814E41"/>
    <w:rsid w:val="0081549A"/>
    <w:rsid w:val="00815F46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4499"/>
    <w:rsid w:val="008245C5"/>
    <w:rsid w:val="00824A3C"/>
    <w:rsid w:val="00825072"/>
    <w:rsid w:val="00825CCA"/>
    <w:rsid w:val="008268F4"/>
    <w:rsid w:val="00827A18"/>
    <w:rsid w:val="00830A7B"/>
    <w:rsid w:val="00830C62"/>
    <w:rsid w:val="00831108"/>
    <w:rsid w:val="00831A94"/>
    <w:rsid w:val="00831F82"/>
    <w:rsid w:val="00832625"/>
    <w:rsid w:val="0083320F"/>
    <w:rsid w:val="0083350C"/>
    <w:rsid w:val="008344D8"/>
    <w:rsid w:val="0083457C"/>
    <w:rsid w:val="008355A9"/>
    <w:rsid w:val="00835CB1"/>
    <w:rsid w:val="00835F60"/>
    <w:rsid w:val="0083617D"/>
    <w:rsid w:val="00836729"/>
    <w:rsid w:val="0083680C"/>
    <w:rsid w:val="00837904"/>
    <w:rsid w:val="00840022"/>
    <w:rsid w:val="008402FA"/>
    <w:rsid w:val="00840468"/>
    <w:rsid w:val="00840D64"/>
    <w:rsid w:val="00841649"/>
    <w:rsid w:val="00841C4A"/>
    <w:rsid w:val="00842493"/>
    <w:rsid w:val="008433EC"/>
    <w:rsid w:val="0084382A"/>
    <w:rsid w:val="008438A4"/>
    <w:rsid w:val="0084482E"/>
    <w:rsid w:val="00844DAC"/>
    <w:rsid w:val="00844E2D"/>
    <w:rsid w:val="008451F2"/>
    <w:rsid w:val="0084569E"/>
    <w:rsid w:val="0084604D"/>
    <w:rsid w:val="0084664E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A1B"/>
    <w:rsid w:val="00853B46"/>
    <w:rsid w:val="00853ED3"/>
    <w:rsid w:val="00854955"/>
    <w:rsid w:val="0085511E"/>
    <w:rsid w:val="0085541A"/>
    <w:rsid w:val="00855E9C"/>
    <w:rsid w:val="008564F3"/>
    <w:rsid w:val="008567E5"/>
    <w:rsid w:val="0085703E"/>
    <w:rsid w:val="00857A6E"/>
    <w:rsid w:val="00860D49"/>
    <w:rsid w:val="008614C7"/>
    <w:rsid w:val="00861639"/>
    <w:rsid w:val="00862199"/>
    <w:rsid w:val="00862377"/>
    <w:rsid w:val="0086418F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D88"/>
    <w:rsid w:val="00875D8D"/>
    <w:rsid w:val="00876468"/>
    <w:rsid w:val="008764DF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53A7"/>
    <w:rsid w:val="00885788"/>
    <w:rsid w:val="008859D6"/>
    <w:rsid w:val="00885F9B"/>
    <w:rsid w:val="008860B5"/>
    <w:rsid w:val="008868FB"/>
    <w:rsid w:val="00886A08"/>
    <w:rsid w:val="00887576"/>
    <w:rsid w:val="0088757A"/>
    <w:rsid w:val="0089080C"/>
    <w:rsid w:val="00890E2D"/>
    <w:rsid w:val="00891DB9"/>
    <w:rsid w:val="00892933"/>
    <w:rsid w:val="0089293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CDD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EA7"/>
    <w:rsid w:val="008B3545"/>
    <w:rsid w:val="008B3CED"/>
    <w:rsid w:val="008B5279"/>
    <w:rsid w:val="008B572D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3A9"/>
    <w:rsid w:val="008D2DAF"/>
    <w:rsid w:val="008D3386"/>
    <w:rsid w:val="008D352F"/>
    <w:rsid w:val="008D3B16"/>
    <w:rsid w:val="008D4275"/>
    <w:rsid w:val="008D444F"/>
    <w:rsid w:val="008D600C"/>
    <w:rsid w:val="008D6AE5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73E"/>
    <w:rsid w:val="00902B89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B20"/>
    <w:rsid w:val="00913DB0"/>
    <w:rsid w:val="0091482E"/>
    <w:rsid w:val="00914F36"/>
    <w:rsid w:val="00914FF2"/>
    <w:rsid w:val="0091532D"/>
    <w:rsid w:val="0091563C"/>
    <w:rsid w:val="00916549"/>
    <w:rsid w:val="00916A3D"/>
    <w:rsid w:val="00917077"/>
    <w:rsid w:val="009174C3"/>
    <w:rsid w:val="009176CF"/>
    <w:rsid w:val="00917AE8"/>
    <w:rsid w:val="009206F5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32C"/>
    <w:rsid w:val="009348B6"/>
    <w:rsid w:val="0093539A"/>
    <w:rsid w:val="009359E3"/>
    <w:rsid w:val="009376C7"/>
    <w:rsid w:val="00937B63"/>
    <w:rsid w:val="00940303"/>
    <w:rsid w:val="00940663"/>
    <w:rsid w:val="00940B13"/>
    <w:rsid w:val="00940B67"/>
    <w:rsid w:val="00940D3C"/>
    <w:rsid w:val="00941921"/>
    <w:rsid w:val="00942192"/>
    <w:rsid w:val="009421C9"/>
    <w:rsid w:val="00942371"/>
    <w:rsid w:val="009423E4"/>
    <w:rsid w:val="00942853"/>
    <w:rsid w:val="00943234"/>
    <w:rsid w:val="0094378E"/>
    <w:rsid w:val="00943DAD"/>
    <w:rsid w:val="00944841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C1E"/>
    <w:rsid w:val="00957D35"/>
    <w:rsid w:val="00960706"/>
    <w:rsid w:val="0096138B"/>
    <w:rsid w:val="00961697"/>
    <w:rsid w:val="00961D1A"/>
    <w:rsid w:val="009624BE"/>
    <w:rsid w:val="00962AFB"/>
    <w:rsid w:val="00963CA9"/>
    <w:rsid w:val="00963EDC"/>
    <w:rsid w:val="00964A7F"/>
    <w:rsid w:val="00965629"/>
    <w:rsid w:val="009656C0"/>
    <w:rsid w:val="00966F38"/>
    <w:rsid w:val="009675A0"/>
    <w:rsid w:val="00967891"/>
    <w:rsid w:val="00967A2E"/>
    <w:rsid w:val="009703CD"/>
    <w:rsid w:val="00970C82"/>
    <w:rsid w:val="00970E0F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F0F"/>
    <w:rsid w:val="00976381"/>
    <w:rsid w:val="00976867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9F7"/>
    <w:rsid w:val="00983296"/>
    <w:rsid w:val="00983A99"/>
    <w:rsid w:val="00984564"/>
    <w:rsid w:val="00984C22"/>
    <w:rsid w:val="00984CB4"/>
    <w:rsid w:val="00985316"/>
    <w:rsid w:val="00985A06"/>
    <w:rsid w:val="00987385"/>
    <w:rsid w:val="00987531"/>
    <w:rsid w:val="00987CF4"/>
    <w:rsid w:val="009906B0"/>
    <w:rsid w:val="00990714"/>
    <w:rsid w:val="00990775"/>
    <w:rsid w:val="0099095E"/>
    <w:rsid w:val="009924EE"/>
    <w:rsid w:val="00993542"/>
    <w:rsid w:val="00993793"/>
    <w:rsid w:val="009937B3"/>
    <w:rsid w:val="00994205"/>
    <w:rsid w:val="0099461A"/>
    <w:rsid w:val="00994A54"/>
    <w:rsid w:val="00994DD6"/>
    <w:rsid w:val="009958DC"/>
    <w:rsid w:val="00995ECE"/>
    <w:rsid w:val="00996810"/>
    <w:rsid w:val="00996858"/>
    <w:rsid w:val="009973DA"/>
    <w:rsid w:val="009A02A4"/>
    <w:rsid w:val="009A03AC"/>
    <w:rsid w:val="009A0E16"/>
    <w:rsid w:val="009A12D2"/>
    <w:rsid w:val="009A12DD"/>
    <w:rsid w:val="009A1AF8"/>
    <w:rsid w:val="009A266D"/>
    <w:rsid w:val="009A352D"/>
    <w:rsid w:val="009A3B85"/>
    <w:rsid w:val="009A3FCA"/>
    <w:rsid w:val="009A46EE"/>
    <w:rsid w:val="009A48E0"/>
    <w:rsid w:val="009A4AC0"/>
    <w:rsid w:val="009A4C82"/>
    <w:rsid w:val="009A4C9D"/>
    <w:rsid w:val="009A7798"/>
    <w:rsid w:val="009B045A"/>
    <w:rsid w:val="009B04AB"/>
    <w:rsid w:val="009B0541"/>
    <w:rsid w:val="009B0548"/>
    <w:rsid w:val="009B0B78"/>
    <w:rsid w:val="009B0C66"/>
    <w:rsid w:val="009B115F"/>
    <w:rsid w:val="009B1188"/>
    <w:rsid w:val="009B12C2"/>
    <w:rsid w:val="009B1B84"/>
    <w:rsid w:val="009B1BAF"/>
    <w:rsid w:val="009B1F22"/>
    <w:rsid w:val="009B2FA8"/>
    <w:rsid w:val="009B3069"/>
    <w:rsid w:val="009B3E35"/>
    <w:rsid w:val="009B4609"/>
    <w:rsid w:val="009B76E2"/>
    <w:rsid w:val="009B7CED"/>
    <w:rsid w:val="009C10D5"/>
    <w:rsid w:val="009C1DE2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D0F"/>
    <w:rsid w:val="009D1649"/>
    <w:rsid w:val="009D1A15"/>
    <w:rsid w:val="009D1DFE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4A4"/>
    <w:rsid w:val="009D7A84"/>
    <w:rsid w:val="009E05A7"/>
    <w:rsid w:val="009E0E02"/>
    <w:rsid w:val="009E1A26"/>
    <w:rsid w:val="009E1CD8"/>
    <w:rsid w:val="009E22B5"/>
    <w:rsid w:val="009E28D2"/>
    <w:rsid w:val="009E31A8"/>
    <w:rsid w:val="009E3624"/>
    <w:rsid w:val="009E39C1"/>
    <w:rsid w:val="009E3B55"/>
    <w:rsid w:val="009E3BD9"/>
    <w:rsid w:val="009E515F"/>
    <w:rsid w:val="009E53AA"/>
    <w:rsid w:val="009E565F"/>
    <w:rsid w:val="009E5877"/>
    <w:rsid w:val="009E5B01"/>
    <w:rsid w:val="009E5FA6"/>
    <w:rsid w:val="009E6410"/>
    <w:rsid w:val="009E64F8"/>
    <w:rsid w:val="009E7043"/>
    <w:rsid w:val="009E792F"/>
    <w:rsid w:val="009F0CBF"/>
    <w:rsid w:val="009F12D3"/>
    <w:rsid w:val="009F17DD"/>
    <w:rsid w:val="009F1F50"/>
    <w:rsid w:val="009F23C0"/>
    <w:rsid w:val="009F2468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EEB"/>
    <w:rsid w:val="009F7ADC"/>
    <w:rsid w:val="009F7BB0"/>
    <w:rsid w:val="009F7E1E"/>
    <w:rsid w:val="00A00294"/>
    <w:rsid w:val="00A004A0"/>
    <w:rsid w:val="00A007F5"/>
    <w:rsid w:val="00A011A9"/>
    <w:rsid w:val="00A01BA0"/>
    <w:rsid w:val="00A0260D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E8"/>
    <w:rsid w:val="00A1350D"/>
    <w:rsid w:val="00A14741"/>
    <w:rsid w:val="00A1476D"/>
    <w:rsid w:val="00A14868"/>
    <w:rsid w:val="00A14A5D"/>
    <w:rsid w:val="00A14E91"/>
    <w:rsid w:val="00A15594"/>
    <w:rsid w:val="00A15947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40"/>
    <w:rsid w:val="00A260EF"/>
    <w:rsid w:val="00A2688C"/>
    <w:rsid w:val="00A27A72"/>
    <w:rsid w:val="00A27E07"/>
    <w:rsid w:val="00A300FA"/>
    <w:rsid w:val="00A31647"/>
    <w:rsid w:val="00A318B6"/>
    <w:rsid w:val="00A31A50"/>
    <w:rsid w:val="00A32264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926"/>
    <w:rsid w:val="00A35A47"/>
    <w:rsid w:val="00A35EEB"/>
    <w:rsid w:val="00A361F5"/>
    <w:rsid w:val="00A36FCE"/>
    <w:rsid w:val="00A3755E"/>
    <w:rsid w:val="00A379F6"/>
    <w:rsid w:val="00A40CB2"/>
    <w:rsid w:val="00A42BA2"/>
    <w:rsid w:val="00A42EB6"/>
    <w:rsid w:val="00A43ABE"/>
    <w:rsid w:val="00A44FB4"/>
    <w:rsid w:val="00A452B1"/>
    <w:rsid w:val="00A45858"/>
    <w:rsid w:val="00A46316"/>
    <w:rsid w:val="00A46B3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FBA"/>
    <w:rsid w:val="00A5708D"/>
    <w:rsid w:val="00A619D5"/>
    <w:rsid w:val="00A61F7E"/>
    <w:rsid w:val="00A6224B"/>
    <w:rsid w:val="00A63049"/>
    <w:rsid w:val="00A63258"/>
    <w:rsid w:val="00A63703"/>
    <w:rsid w:val="00A63CD2"/>
    <w:rsid w:val="00A64113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6FD9"/>
    <w:rsid w:val="00A771D0"/>
    <w:rsid w:val="00A807A3"/>
    <w:rsid w:val="00A807A8"/>
    <w:rsid w:val="00A8082B"/>
    <w:rsid w:val="00A816F3"/>
    <w:rsid w:val="00A81A21"/>
    <w:rsid w:val="00A85481"/>
    <w:rsid w:val="00A857BF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418A"/>
    <w:rsid w:val="00A944BB"/>
    <w:rsid w:val="00A944D3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BA"/>
    <w:rsid w:val="00AA1649"/>
    <w:rsid w:val="00AA1AD6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613E"/>
    <w:rsid w:val="00AA6653"/>
    <w:rsid w:val="00AA669F"/>
    <w:rsid w:val="00AA7702"/>
    <w:rsid w:val="00AA787D"/>
    <w:rsid w:val="00AA7D39"/>
    <w:rsid w:val="00AA7EC5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3AA0"/>
    <w:rsid w:val="00AC49FD"/>
    <w:rsid w:val="00AC4A84"/>
    <w:rsid w:val="00AC4F81"/>
    <w:rsid w:val="00AC5361"/>
    <w:rsid w:val="00AC54AB"/>
    <w:rsid w:val="00AC5755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D20"/>
    <w:rsid w:val="00AD214F"/>
    <w:rsid w:val="00AD23F3"/>
    <w:rsid w:val="00AD272C"/>
    <w:rsid w:val="00AD280C"/>
    <w:rsid w:val="00AD2D7D"/>
    <w:rsid w:val="00AD3483"/>
    <w:rsid w:val="00AD3631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82A"/>
    <w:rsid w:val="00AD7B01"/>
    <w:rsid w:val="00AE06E4"/>
    <w:rsid w:val="00AE097A"/>
    <w:rsid w:val="00AE0F0E"/>
    <w:rsid w:val="00AE10E0"/>
    <w:rsid w:val="00AE10F8"/>
    <w:rsid w:val="00AE13E5"/>
    <w:rsid w:val="00AE1CEC"/>
    <w:rsid w:val="00AE20EB"/>
    <w:rsid w:val="00AE27F6"/>
    <w:rsid w:val="00AE3495"/>
    <w:rsid w:val="00AE3A66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B79"/>
    <w:rsid w:val="00B01E03"/>
    <w:rsid w:val="00B02643"/>
    <w:rsid w:val="00B026FE"/>
    <w:rsid w:val="00B030EA"/>
    <w:rsid w:val="00B03DF8"/>
    <w:rsid w:val="00B05956"/>
    <w:rsid w:val="00B05C9F"/>
    <w:rsid w:val="00B05EDE"/>
    <w:rsid w:val="00B104CC"/>
    <w:rsid w:val="00B10843"/>
    <w:rsid w:val="00B10DF7"/>
    <w:rsid w:val="00B119A6"/>
    <w:rsid w:val="00B1217F"/>
    <w:rsid w:val="00B125F6"/>
    <w:rsid w:val="00B126C8"/>
    <w:rsid w:val="00B1286E"/>
    <w:rsid w:val="00B12A0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49BE"/>
    <w:rsid w:val="00B2520C"/>
    <w:rsid w:val="00B25640"/>
    <w:rsid w:val="00B25797"/>
    <w:rsid w:val="00B25C3E"/>
    <w:rsid w:val="00B26233"/>
    <w:rsid w:val="00B27634"/>
    <w:rsid w:val="00B30060"/>
    <w:rsid w:val="00B30B9A"/>
    <w:rsid w:val="00B3196F"/>
    <w:rsid w:val="00B31E7A"/>
    <w:rsid w:val="00B31EF1"/>
    <w:rsid w:val="00B32515"/>
    <w:rsid w:val="00B326B8"/>
    <w:rsid w:val="00B32AB8"/>
    <w:rsid w:val="00B34671"/>
    <w:rsid w:val="00B3469B"/>
    <w:rsid w:val="00B34B38"/>
    <w:rsid w:val="00B350E2"/>
    <w:rsid w:val="00B35696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FF0"/>
    <w:rsid w:val="00B50190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39F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6013A"/>
    <w:rsid w:val="00B61456"/>
    <w:rsid w:val="00B61B01"/>
    <w:rsid w:val="00B61E1A"/>
    <w:rsid w:val="00B61EDA"/>
    <w:rsid w:val="00B62016"/>
    <w:rsid w:val="00B6208F"/>
    <w:rsid w:val="00B62527"/>
    <w:rsid w:val="00B63669"/>
    <w:rsid w:val="00B63D56"/>
    <w:rsid w:val="00B642AA"/>
    <w:rsid w:val="00B64619"/>
    <w:rsid w:val="00B65217"/>
    <w:rsid w:val="00B657B7"/>
    <w:rsid w:val="00B65900"/>
    <w:rsid w:val="00B6592C"/>
    <w:rsid w:val="00B65BDC"/>
    <w:rsid w:val="00B65DF5"/>
    <w:rsid w:val="00B6631F"/>
    <w:rsid w:val="00B66326"/>
    <w:rsid w:val="00B664BE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1B8"/>
    <w:rsid w:val="00B72978"/>
    <w:rsid w:val="00B729F3"/>
    <w:rsid w:val="00B72E3A"/>
    <w:rsid w:val="00B731B3"/>
    <w:rsid w:val="00B73981"/>
    <w:rsid w:val="00B740FC"/>
    <w:rsid w:val="00B74C55"/>
    <w:rsid w:val="00B75DEC"/>
    <w:rsid w:val="00B75DFB"/>
    <w:rsid w:val="00B76D3B"/>
    <w:rsid w:val="00B775B7"/>
    <w:rsid w:val="00B8043D"/>
    <w:rsid w:val="00B80D8E"/>
    <w:rsid w:val="00B818E9"/>
    <w:rsid w:val="00B82CD6"/>
    <w:rsid w:val="00B82E2D"/>
    <w:rsid w:val="00B83144"/>
    <w:rsid w:val="00B8379D"/>
    <w:rsid w:val="00B837DA"/>
    <w:rsid w:val="00B8380F"/>
    <w:rsid w:val="00B842AF"/>
    <w:rsid w:val="00B8456D"/>
    <w:rsid w:val="00B84794"/>
    <w:rsid w:val="00B849CD"/>
    <w:rsid w:val="00B863B8"/>
    <w:rsid w:val="00B86800"/>
    <w:rsid w:val="00B86A43"/>
    <w:rsid w:val="00B87C80"/>
    <w:rsid w:val="00B87D8D"/>
    <w:rsid w:val="00B912A1"/>
    <w:rsid w:val="00B913C2"/>
    <w:rsid w:val="00B91528"/>
    <w:rsid w:val="00B9200A"/>
    <w:rsid w:val="00B920C8"/>
    <w:rsid w:val="00B92EB8"/>
    <w:rsid w:val="00B9313B"/>
    <w:rsid w:val="00B93B13"/>
    <w:rsid w:val="00B93C91"/>
    <w:rsid w:val="00B93D48"/>
    <w:rsid w:val="00B94A27"/>
    <w:rsid w:val="00B95322"/>
    <w:rsid w:val="00B95372"/>
    <w:rsid w:val="00B953AA"/>
    <w:rsid w:val="00B9587C"/>
    <w:rsid w:val="00B95CD9"/>
    <w:rsid w:val="00B96969"/>
    <w:rsid w:val="00B970EF"/>
    <w:rsid w:val="00B97C9D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D70"/>
    <w:rsid w:val="00BA6D8B"/>
    <w:rsid w:val="00BB013F"/>
    <w:rsid w:val="00BB0C5A"/>
    <w:rsid w:val="00BB0F4D"/>
    <w:rsid w:val="00BB1497"/>
    <w:rsid w:val="00BB1B9A"/>
    <w:rsid w:val="00BB2013"/>
    <w:rsid w:val="00BB295B"/>
    <w:rsid w:val="00BB2F4A"/>
    <w:rsid w:val="00BB3824"/>
    <w:rsid w:val="00BB38BB"/>
    <w:rsid w:val="00BB3C54"/>
    <w:rsid w:val="00BB4FAA"/>
    <w:rsid w:val="00BB589A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B5D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30BE"/>
    <w:rsid w:val="00BF30CA"/>
    <w:rsid w:val="00BF4043"/>
    <w:rsid w:val="00BF4668"/>
    <w:rsid w:val="00BF4B53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245"/>
    <w:rsid w:val="00C03466"/>
    <w:rsid w:val="00C03C7E"/>
    <w:rsid w:val="00C04017"/>
    <w:rsid w:val="00C04278"/>
    <w:rsid w:val="00C04B8D"/>
    <w:rsid w:val="00C04E35"/>
    <w:rsid w:val="00C04E5F"/>
    <w:rsid w:val="00C0621B"/>
    <w:rsid w:val="00C07386"/>
    <w:rsid w:val="00C10A1C"/>
    <w:rsid w:val="00C118B4"/>
    <w:rsid w:val="00C118D7"/>
    <w:rsid w:val="00C12782"/>
    <w:rsid w:val="00C12EF2"/>
    <w:rsid w:val="00C135C5"/>
    <w:rsid w:val="00C13A30"/>
    <w:rsid w:val="00C13FCD"/>
    <w:rsid w:val="00C1522C"/>
    <w:rsid w:val="00C15A45"/>
    <w:rsid w:val="00C161DF"/>
    <w:rsid w:val="00C16231"/>
    <w:rsid w:val="00C16369"/>
    <w:rsid w:val="00C164F7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4E2"/>
    <w:rsid w:val="00C3072C"/>
    <w:rsid w:val="00C308C2"/>
    <w:rsid w:val="00C31944"/>
    <w:rsid w:val="00C323DE"/>
    <w:rsid w:val="00C32F0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DCB"/>
    <w:rsid w:val="00C421E4"/>
    <w:rsid w:val="00C425C3"/>
    <w:rsid w:val="00C439D9"/>
    <w:rsid w:val="00C43DB6"/>
    <w:rsid w:val="00C44615"/>
    <w:rsid w:val="00C4496F"/>
    <w:rsid w:val="00C44F76"/>
    <w:rsid w:val="00C457DE"/>
    <w:rsid w:val="00C45BC6"/>
    <w:rsid w:val="00C46130"/>
    <w:rsid w:val="00C4625B"/>
    <w:rsid w:val="00C463E8"/>
    <w:rsid w:val="00C46D8C"/>
    <w:rsid w:val="00C47E7F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B9E"/>
    <w:rsid w:val="00C55CBF"/>
    <w:rsid w:val="00C56615"/>
    <w:rsid w:val="00C56892"/>
    <w:rsid w:val="00C569DC"/>
    <w:rsid w:val="00C570E1"/>
    <w:rsid w:val="00C57472"/>
    <w:rsid w:val="00C574BD"/>
    <w:rsid w:val="00C601BD"/>
    <w:rsid w:val="00C6033D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E75"/>
    <w:rsid w:val="00C65111"/>
    <w:rsid w:val="00C65498"/>
    <w:rsid w:val="00C66A15"/>
    <w:rsid w:val="00C67377"/>
    <w:rsid w:val="00C67988"/>
    <w:rsid w:val="00C70EC3"/>
    <w:rsid w:val="00C713BE"/>
    <w:rsid w:val="00C71653"/>
    <w:rsid w:val="00C716C0"/>
    <w:rsid w:val="00C71ACC"/>
    <w:rsid w:val="00C71D67"/>
    <w:rsid w:val="00C7209C"/>
    <w:rsid w:val="00C72393"/>
    <w:rsid w:val="00C72961"/>
    <w:rsid w:val="00C73B2D"/>
    <w:rsid w:val="00C74E3F"/>
    <w:rsid w:val="00C74F29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D33"/>
    <w:rsid w:val="00C8238F"/>
    <w:rsid w:val="00C82E10"/>
    <w:rsid w:val="00C83238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30EF"/>
    <w:rsid w:val="00C936EA"/>
    <w:rsid w:val="00C9372B"/>
    <w:rsid w:val="00C938F3"/>
    <w:rsid w:val="00C95A4D"/>
    <w:rsid w:val="00C95D84"/>
    <w:rsid w:val="00C96179"/>
    <w:rsid w:val="00C975C1"/>
    <w:rsid w:val="00C9776B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44A4"/>
    <w:rsid w:val="00CA4697"/>
    <w:rsid w:val="00CA5736"/>
    <w:rsid w:val="00CA57F7"/>
    <w:rsid w:val="00CA5C5A"/>
    <w:rsid w:val="00CA6364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56FB"/>
    <w:rsid w:val="00CB5E46"/>
    <w:rsid w:val="00CB66B8"/>
    <w:rsid w:val="00CB68B5"/>
    <w:rsid w:val="00CB72B0"/>
    <w:rsid w:val="00CB7E04"/>
    <w:rsid w:val="00CB7E18"/>
    <w:rsid w:val="00CC0630"/>
    <w:rsid w:val="00CC10CD"/>
    <w:rsid w:val="00CC22A1"/>
    <w:rsid w:val="00CC2436"/>
    <w:rsid w:val="00CC2758"/>
    <w:rsid w:val="00CC2B0C"/>
    <w:rsid w:val="00CC3972"/>
    <w:rsid w:val="00CC3E9C"/>
    <w:rsid w:val="00CC413F"/>
    <w:rsid w:val="00CC471A"/>
    <w:rsid w:val="00CC5219"/>
    <w:rsid w:val="00CC525B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36"/>
    <w:rsid w:val="00CD0AED"/>
    <w:rsid w:val="00CD0BAB"/>
    <w:rsid w:val="00CD2CD7"/>
    <w:rsid w:val="00CD3718"/>
    <w:rsid w:val="00CD380F"/>
    <w:rsid w:val="00CD41D5"/>
    <w:rsid w:val="00CD442F"/>
    <w:rsid w:val="00CD493E"/>
    <w:rsid w:val="00CD556B"/>
    <w:rsid w:val="00CD5FB2"/>
    <w:rsid w:val="00CD6E2C"/>
    <w:rsid w:val="00CD71E6"/>
    <w:rsid w:val="00CD7415"/>
    <w:rsid w:val="00CD76B5"/>
    <w:rsid w:val="00CE1F87"/>
    <w:rsid w:val="00CE24DD"/>
    <w:rsid w:val="00CE2C47"/>
    <w:rsid w:val="00CE30A9"/>
    <w:rsid w:val="00CE3B9E"/>
    <w:rsid w:val="00CE3BC0"/>
    <w:rsid w:val="00CE42A4"/>
    <w:rsid w:val="00CE4630"/>
    <w:rsid w:val="00CE5EF0"/>
    <w:rsid w:val="00CE6194"/>
    <w:rsid w:val="00CE66CE"/>
    <w:rsid w:val="00CE6FEA"/>
    <w:rsid w:val="00CE73C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3AD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569A"/>
    <w:rsid w:val="00D2593C"/>
    <w:rsid w:val="00D25EF5"/>
    <w:rsid w:val="00D26172"/>
    <w:rsid w:val="00D2724D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FBC"/>
    <w:rsid w:val="00D441A1"/>
    <w:rsid w:val="00D4434E"/>
    <w:rsid w:val="00D44F8C"/>
    <w:rsid w:val="00D45050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2B3A"/>
    <w:rsid w:val="00D7339C"/>
    <w:rsid w:val="00D73ED1"/>
    <w:rsid w:val="00D743C7"/>
    <w:rsid w:val="00D7482D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678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12F"/>
    <w:rsid w:val="00D87EAE"/>
    <w:rsid w:val="00D906AB"/>
    <w:rsid w:val="00D91343"/>
    <w:rsid w:val="00D91701"/>
    <w:rsid w:val="00D9194D"/>
    <w:rsid w:val="00D920D1"/>
    <w:rsid w:val="00D9232F"/>
    <w:rsid w:val="00D9250A"/>
    <w:rsid w:val="00D92576"/>
    <w:rsid w:val="00D92597"/>
    <w:rsid w:val="00D92968"/>
    <w:rsid w:val="00D92F8D"/>
    <w:rsid w:val="00D92F97"/>
    <w:rsid w:val="00D93377"/>
    <w:rsid w:val="00D942D2"/>
    <w:rsid w:val="00D945F9"/>
    <w:rsid w:val="00D94E03"/>
    <w:rsid w:val="00D95D67"/>
    <w:rsid w:val="00D9632C"/>
    <w:rsid w:val="00D9682A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414C"/>
    <w:rsid w:val="00DA4834"/>
    <w:rsid w:val="00DA4ACE"/>
    <w:rsid w:val="00DA528A"/>
    <w:rsid w:val="00DA567D"/>
    <w:rsid w:val="00DA573A"/>
    <w:rsid w:val="00DA5BE9"/>
    <w:rsid w:val="00DA6077"/>
    <w:rsid w:val="00DA7097"/>
    <w:rsid w:val="00DA77C2"/>
    <w:rsid w:val="00DB04EB"/>
    <w:rsid w:val="00DB0A4C"/>
    <w:rsid w:val="00DB2D79"/>
    <w:rsid w:val="00DB2FA6"/>
    <w:rsid w:val="00DB344A"/>
    <w:rsid w:val="00DB3671"/>
    <w:rsid w:val="00DB4092"/>
    <w:rsid w:val="00DB57BC"/>
    <w:rsid w:val="00DB5942"/>
    <w:rsid w:val="00DB7F1C"/>
    <w:rsid w:val="00DC0ADF"/>
    <w:rsid w:val="00DC0D79"/>
    <w:rsid w:val="00DC12E4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68AB"/>
    <w:rsid w:val="00DC7C1E"/>
    <w:rsid w:val="00DD025D"/>
    <w:rsid w:val="00DD16E7"/>
    <w:rsid w:val="00DD2BF8"/>
    <w:rsid w:val="00DD2CB8"/>
    <w:rsid w:val="00DD3D32"/>
    <w:rsid w:val="00DD40A3"/>
    <w:rsid w:val="00DD4633"/>
    <w:rsid w:val="00DD51A6"/>
    <w:rsid w:val="00DD59F8"/>
    <w:rsid w:val="00DD5AFC"/>
    <w:rsid w:val="00DD5C2D"/>
    <w:rsid w:val="00DD5CC0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BDD"/>
    <w:rsid w:val="00DF0D2E"/>
    <w:rsid w:val="00DF1947"/>
    <w:rsid w:val="00DF1CCE"/>
    <w:rsid w:val="00DF25A5"/>
    <w:rsid w:val="00DF293F"/>
    <w:rsid w:val="00DF319C"/>
    <w:rsid w:val="00DF356C"/>
    <w:rsid w:val="00DF42A6"/>
    <w:rsid w:val="00DF43F2"/>
    <w:rsid w:val="00DF465F"/>
    <w:rsid w:val="00DF4CBE"/>
    <w:rsid w:val="00DF4F3E"/>
    <w:rsid w:val="00DF65EC"/>
    <w:rsid w:val="00DF68F2"/>
    <w:rsid w:val="00DF690B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41BB"/>
    <w:rsid w:val="00E14388"/>
    <w:rsid w:val="00E157C9"/>
    <w:rsid w:val="00E15B4E"/>
    <w:rsid w:val="00E16072"/>
    <w:rsid w:val="00E16085"/>
    <w:rsid w:val="00E16BA3"/>
    <w:rsid w:val="00E16DB3"/>
    <w:rsid w:val="00E17DC2"/>
    <w:rsid w:val="00E20D7B"/>
    <w:rsid w:val="00E20F92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6179"/>
    <w:rsid w:val="00E26BC9"/>
    <w:rsid w:val="00E27A5E"/>
    <w:rsid w:val="00E27BC6"/>
    <w:rsid w:val="00E27BE7"/>
    <w:rsid w:val="00E31088"/>
    <w:rsid w:val="00E31107"/>
    <w:rsid w:val="00E31358"/>
    <w:rsid w:val="00E331AF"/>
    <w:rsid w:val="00E337D4"/>
    <w:rsid w:val="00E33943"/>
    <w:rsid w:val="00E34287"/>
    <w:rsid w:val="00E34872"/>
    <w:rsid w:val="00E3501B"/>
    <w:rsid w:val="00E3511A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980"/>
    <w:rsid w:val="00E57A58"/>
    <w:rsid w:val="00E612F0"/>
    <w:rsid w:val="00E61333"/>
    <w:rsid w:val="00E6155E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D06"/>
    <w:rsid w:val="00E6726D"/>
    <w:rsid w:val="00E674FF"/>
    <w:rsid w:val="00E679A2"/>
    <w:rsid w:val="00E67CB4"/>
    <w:rsid w:val="00E67D1F"/>
    <w:rsid w:val="00E67D56"/>
    <w:rsid w:val="00E70A88"/>
    <w:rsid w:val="00E71293"/>
    <w:rsid w:val="00E71AFE"/>
    <w:rsid w:val="00E71B3A"/>
    <w:rsid w:val="00E724A8"/>
    <w:rsid w:val="00E72DB8"/>
    <w:rsid w:val="00E73296"/>
    <w:rsid w:val="00E739F6"/>
    <w:rsid w:val="00E73B8F"/>
    <w:rsid w:val="00E742D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BC7"/>
    <w:rsid w:val="00E83CBA"/>
    <w:rsid w:val="00E84B5A"/>
    <w:rsid w:val="00E84C6D"/>
    <w:rsid w:val="00E84FAE"/>
    <w:rsid w:val="00E8519D"/>
    <w:rsid w:val="00E86328"/>
    <w:rsid w:val="00E87B5F"/>
    <w:rsid w:val="00E90903"/>
    <w:rsid w:val="00E909D4"/>
    <w:rsid w:val="00E90B8F"/>
    <w:rsid w:val="00E91D7B"/>
    <w:rsid w:val="00E930A6"/>
    <w:rsid w:val="00E93343"/>
    <w:rsid w:val="00E93561"/>
    <w:rsid w:val="00E93D8F"/>
    <w:rsid w:val="00E95C4F"/>
    <w:rsid w:val="00E95E01"/>
    <w:rsid w:val="00E9630D"/>
    <w:rsid w:val="00E97421"/>
    <w:rsid w:val="00E9788B"/>
    <w:rsid w:val="00E97A32"/>
    <w:rsid w:val="00EA02C7"/>
    <w:rsid w:val="00EA1207"/>
    <w:rsid w:val="00EA1383"/>
    <w:rsid w:val="00EA13B2"/>
    <w:rsid w:val="00EA1C91"/>
    <w:rsid w:val="00EA3FD9"/>
    <w:rsid w:val="00EA4AE2"/>
    <w:rsid w:val="00EA5312"/>
    <w:rsid w:val="00EA5567"/>
    <w:rsid w:val="00EA61CE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096E"/>
    <w:rsid w:val="00EC108B"/>
    <w:rsid w:val="00EC2CF2"/>
    <w:rsid w:val="00EC3A03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C7E95"/>
    <w:rsid w:val="00ED019C"/>
    <w:rsid w:val="00ED046A"/>
    <w:rsid w:val="00ED0650"/>
    <w:rsid w:val="00ED10AB"/>
    <w:rsid w:val="00ED180D"/>
    <w:rsid w:val="00ED2030"/>
    <w:rsid w:val="00ED2353"/>
    <w:rsid w:val="00ED2BCA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E11F3"/>
    <w:rsid w:val="00EE2019"/>
    <w:rsid w:val="00EE2587"/>
    <w:rsid w:val="00EE393F"/>
    <w:rsid w:val="00EE3E5A"/>
    <w:rsid w:val="00EE42D1"/>
    <w:rsid w:val="00EE4D24"/>
    <w:rsid w:val="00EE5275"/>
    <w:rsid w:val="00EE5944"/>
    <w:rsid w:val="00EE6832"/>
    <w:rsid w:val="00EE6911"/>
    <w:rsid w:val="00EE6AE4"/>
    <w:rsid w:val="00EF0014"/>
    <w:rsid w:val="00EF0572"/>
    <w:rsid w:val="00EF0C27"/>
    <w:rsid w:val="00EF13DE"/>
    <w:rsid w:val="00EF1917"/>
    <w:rsid w:val="00EF29F6"/>
    <w:rsid w:val="00EF3F81"/>
    <w:rsid w:val="00EF42D4"/>
    <w:rsid w:val="00EF4EEE"/>
    <w:rsid w:val="00EF54D0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510C"/>
    <w:rsid w:val="00F0605D"/>
    <w:rsid w:val="00F0612C"/>
    <w:rsid w:val="00F0793B"/>
    <w:rsid w:val="00F07FDF"/>
    <w:rsid w:val="00F10413"/>
    <w:rsid w:val="00F1046D"/>
    <w:rsid w:val="00F10788"/>
    <w:rsid w:val="00F10CBF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41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B2"/>
    <w:rsid w:val="00F27144"/>
    <w:rsid w:val="00F27DDF"/>
    <w:rsid w:val="00F30346"/>
    <w:rsid w:val="00F30931"/>
    <w:rsid w:val="00F30F6D"/>
    <w:rsid w:val="00F3237F"/>
    <w:rsid w:val="00F32906"/>
    <w:rsid w:val="00F337C9"/>
    <w:rsid w:val="00F33B4F"/>
    <w:rsid w:val="00F349A6"/>
    <w:rsid w:val="00F35F01"/>
    <w:rsid w:val="00F365DE"/>
    <w:rsid w:val="00F37B0F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9EB"/>
    <w:rsid w:val="00F45A9E"/>
    <w:rsid w:val="00F45BA7"/>
    <w:rsid w:val="00F466C4"/>
    <w:rsid w:val="00F46C83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43AB"/>
    <w:rsid w:val="00F5448A"/>
    <w:rsid w:val="00F5481D"/>
    <w:rsid w:val="00F552BA"/>
    <w:rsid w:val="00F55491"/>
    <w:rsid w:val="00F55DEE"/>
    <w:rsid w:val="00F56B92"/>
    <w:rsid w:val="00F5751C"/>
    <w:rsid w:val="00F57ABC"/>
    <w:rsid w:val="00F57AC5"/>
    <w:rsid w:val="00F601D4"/>
    <w:rsid w:val="00F60761"/>
    <w:rsid w:val="00F60D09"/>
    <w:rsid w:val="00F60EBA"/>
    <w:rsid w:val="00F61923"/>
    <w:rsid w:val="00F62286"/>
    <w:rsid w:val="00F6249F"/>
    <w:rsid w:val="00F62BB1"/>
    <w:rsid w:val="00F632A3"/>
    <w:rsid w:val="00F63668"/>
    <w:rsid w:val="00F64115"/>
    <w:rsid w:val="00F65907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47D2"/>
    <w:rsid w:val="00F74845"/>
    <w:rsid w:val="00F74D21"/>
    <w:rsid w:val="00F7532E"/>
    <w:rsid w:val="00F75846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D34"/>
    <w:rsid w:val="00F838F1"/>
    <w:rsid w:val="00F83DA5"/>
    <w:rsid w:val="00F841ED"/>
    <w:rsid w:val="00F843EB"/>
    <w:rsid w:val="00F84794"/>
    <w:rsid w:val="00F84918"/>
    <w:rsid w:val="00F86477"/>
    <w:rsid w:val="00F86721"/>
    <w:rsid w:val="00F86914"/>
    <w:rsid w:val="00F86CA8"/>
    <w:rsid w:val="00F8744A"/>
    <w:rsid w:val="00F879AA"/>
    <w:rsid w:val="00F87AA3"/>
    <w:rsid w:val="00F87C9D"/>
    <w:rsid w:val="00F9042D"/>
    <w:rsid w:val="00F90562"/>
    <w:rsid w:val="00F90DC9"/>
    <w:rsid w:val="00F918C4"/>
    <w:rsid w:val="00F91BE2"/>
    <w:rsid w:val="00F923DA"/>
    <w:rsid w:val="00F9266B"/>
    <w:rsid w:val="00F93C9E"/>
    <w:rsid w:val="00F954CC"/>
    <w:rsid w:val="00F95A06"/>
    <w:rsid w:val="00F95E3B"/>
    <w:rsid w:val="00F96FC1"/>
    <w:rsid w:val="00F97695"/>
    <w:rsid w:val="00F979A2"/>
    <w:rsid w:val="00F97B22"/>
    <w:rsid w:val="00FA1147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FDC"/>
    <w:rsid w:val="00FA5067"/>
    <w:rsid w:val="00FA531D"/>
    <w:rsid w:val="00FA5682"/>
    <w:rsid w:val="00FA5CD5"/>
    <w:rsid w:val="00FA5F1E"/>
    <w:rsid w:val="00FA60C8"/>
    <w:rsid w:val="00FA7F14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706C"/>
    <w:rsid w:val="00FB73DB"/>
    <w:rsid w:val="00FB79AA"/>
    <w:rsid w:val="00FC00D1"/>
    <w:rsid w:val="00FC04AB"/>
    <w:rsid w:val="00FC0E4C"/>
    <w:rsid w:val="00FC121F"/>
    <w:rsid w:val="00FC280B"/>
    <w:rsid w:val="00FC2CBB"/>
    <w:rsid w:val="00FC2E84"/>
    <w:rsid w:val="00FC3244"/>
    <w:rsid w:val="00FC3350"/>
    <w:rsid w:val="00FC366A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141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EF0"/>
    <w:rsid w:val="00FD53C4"/>
    <w:rsid w:val="00FD5550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0C3"/>
    <w:rsid w:val="00FE4D34"/>
    <w:rsid w:val="00FE5AB1"/>
    <w:rsid w:val="00FE6141"/>
    <w:rsid w:val="00FE62A3"/>
    <w:rsid w:val="00FE693A"/>
    <w:rsid w:val="00FE6975"/>
    <w:rsid w:val="00FF06D3"/>
    <w:rsid w:val="00FF109B"/>
    <w:rsid w:val="00FF1131"/>
    <w:rsid w:val="00FF11D6"/>
    <w:rsid w:val="00FF1BDA"/>
    <w:rsid w:val="00FF3137"/>
    <w:rsid w:val="00FF3467"/>
    <w:rsid w:val="00FF3C20"/>
    <w:rsid w:val="00FF453A"/>
    <w:rsid w:val="00FF4840"/>
    <w:rsid w:val="00FF48B5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D6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50A13-945A-47F4-8414-673C8865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RAN2#124</cp:lastModifiedBy>
  <cp:revision>1412</cp:revision>
  <dcterms:created xsi:type="dcterms:W3CDTF">2023-02-16T16:54:00Z</dcterms:created>
  <dcterms:modified xsi:type="dcterms:W3CDTF">2024-02-18T23:46:00Z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